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55.png" ContentType="image/png"/>
  <Override PartName="/word/media/rId34.png" ContentType="image/png"/>
  <Override PartName="/word/media/rId40.png" ContentType="image/png"/>
  <Override PartName="/word/media/rId43.png" ContentType="image/png"/>
  <Override PartName="/word/media/rId49.png" ContentType="image/png"/>
  <Override PartName="/word/media/rId37.png" ContentType="image/png"/>
  <Override PartName="/word/media/rId46.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 cell Transcriptome Profile During Turkey Hemorrhagic Enteritis Virus (THEV) Infection Highlights Upregulated Apoptosis and Breakdown Pathways That May Mediate Immunosuppression</w:t>
      </w:r>
    </w:p>
    <w:p>
      <w:pPr>
        <w:pStyle w:val="FirstParagraph"/>
      </w:pPr>
      <w:r>
        <w:t xml:space="preserve">Abraham Quaye, Brett E. Pickett, Joel S. Griffitts, Bradford K. Berges, Brian D. Poole</w:t>
      </w:r>
      <w:r>
        <w:rPr>
          <w:vertAlign w:val="superscript"/>
        </w:rPr>
        <w:t xml:space="preserve">*</w:t>
      </w:r>
    </w:p>
    <w:p>
      <w:pPr>
        <w:pStyle w:val="BodyText"/>
      </w:pPr>
      <w:r>
        <w:t xml:space="preserve">Department of Microbiology and Molecular Biology, Brigham Young University</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pPr>
        <w:pStyle w:val="FirstParagraph"/>
      </w:pPr>
      <w:r>
        <w:t xml:space="preserve">Infection with Turkey Hemorrhagic Enteritis Virus (THEV) can cause hemorrhagic enteritis, which affects young turkeys. This disease is characterized by bloody diarrhea and immunosuppression (IMS), which is attributed to apoptosis of infected B cells. Secondary infections due to IMS exacerbates economic losses. We performed the first transcriptomic analysis of a THEV infection to elucidate the mechanisms mediating THEV-induced IMS. After infecting and sequencing mRNAs of a turkey B-cell line, trimmed reads were mapped to the host turkey genome and gene expression was quantified with StringTie. Differential gene expression analysis was followed by functional enrichment analyses using gprofiler2 and DAVID from NCBI. RT-qPCR of select genes was performed to validate the RNA-seq data. A total of 2,343 and 3,295 differentially expressed genes (DEGs) were identified at 12-hpi and 24-hpi, respectively. The DEGs correlated with multiple biological processes including apoptosis, ER unfolded protein response, and cell maintenance. Multiple pro-apoptotic genes, including</w:t>
      </w:r>
      <w:r>
        <w:t xml:space="preserve"> </w:t>
      </w:r>
      <w:r>
        <w:rPr>
          <w:i/>
          <w:iCs/>
        </w:rPr>
        <w:t xml:space="preserve">APAF1, BMF, BAK1, and FAS</w:t>
      </w:r>
      <w:r>
        <w:t xml:space="preserve"> </w:t>
      </w:r>
      <w:r>
        <w:t xml:space="preserve">were upregulated. Genes that play a role in ER stress-induced unfolded protein response including</w:t>
      </w:r>
      <w:r>
        <w:t xml:space="preserve"> </w:t>
      </w:r>
      <w:r>
        <w:rPr>
          <w:i/>
          <w:iCs/>
        </w:rPr>
        <w:t xml:space="preserve">VCP, UFD1, EDEM1, and ATF4</w:t>
      </w:r>
      <w:r>
        <w:t xml:space="preserve"> </w:t>
      </w:r>
      <w:r>
        <w:t xml:space="preserve">were also upregulated and may contribute to apoptosis. Our data suggest that several biological processes and pathways including apoptosis and ER response to stress are important aspects of the host cell response to THEV infection. It is possible that interplay between multiple processes may mediate apoptosis of infected B-cells, leading to IMS.</w:t>
      </w:r>
    </w:p>
    <w:bookmarkEnd w:id="21"/>
    <w:bookmarkStart w:id="22" w:name="keywords"/>
    <w:p>
      <w:pPr>
        <w:pStyle w:val="Heading2"/>
      </w:pPr>
      <w:r>
        <w:t xml:space="preserve">Keywords</w:t>
      </w:r>
    </w:p>
    <w:p>
      <w:pPr>
        <w:pStyle w:val="FirstParagraph"/>
      </w:pPr>
      <w:r>
        <w:t xml:space="preserve">Turkey hemorrhagic enteritis virus (THEV), Adenovirus, RNA sequencing, Apoptosis, Immunosuppression, ER stress, B cell.</w:t>
      </w:r>
      <w:r>
        <w:t xml:space="preserve"> </w:t>
      </w:r>
    </w:p>
    <w:bookmarkEnd w:id="22"/>
    <w:bookmarkStart w:id="23" w:name="introduction"/>
    <w:p>
      <w:pPr>
        <w:pStyle w:val="Heading2"/>
      </w:pPr>
      <w:r>
        <w:t xml:space="preserve">1. Introduction</w:t>
      </w:r>
    </w:p>
    <w:p>
      <w:pPr>
        <w:pStyle w:val="FirstParagraph"/>
      </w:pPr>
      <w:r>
        <w:t xml:space="preserve">Turkey hemorrhagic enteritis virus (THEV) belongs to genus</w:t>
      </w:r>
      <w:r>
        <w:t xml:space="preserve"> </w:t>
      </w:r>
      <w:r>
        <w:rPr>
          <w:i/>
          <w:iCs/>
        </w:rPr>
        <w:t xml:space="preserve">Siadenovirus</w:t>
      </w:r>
      <w:r>
        <w:t xml:space="preserve">, family</w:t>
      </w:r>
      <w:r>
        <w:t xml:space="preserve"> </w:t>
      </w:r>
      <w:r>
        <w:rPr>
          <w:i/>
          <w:iCs/>
        </w:rPr>
        <w:t xml:space="preserve">Adenoviridae</w:t>
      </w:r>
      <w:r>
        <w:t xml:space="preserve">, and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lack of vitality, splenomegaly, intestinal lesions leading to bloody diarrhea, and up to 80% mortality</w:t>
      </w:r>
      <w:r>
        <w:t xml:space="preserve"> </w:t>
      </w:r>
      <w:r>
        <w:t xml:space="preserve">(3–6)</w:t>
      </w:r>
      <w:r>
        <w:t xml:space="preserve">. The clinical disease usually persists in affected flocks for 7-10 days, causing death and economic losses. However, secondary bacterial infections may extend the duration of illness and increase mortality for an additional 2-3 weeks due to the immunosuppressive nature of the virus, exacerbating the economic losses</w:t>
      </w:r>
      <w:r>
        <w:t xml:space="preserve"> </w:t>
      </w:r>
      <w:r>
        <w:t xml:space="preserve">(5, 7)</w:t>
      </w:r>
      <w:r>
        <w:t xml:space="preserve">. Naturally occurring low pathogenic (avirulent) strains of THEV have been isolated; these strains cause subclinical infections but retain the immunosuppressive effects. Since its isolation from a pheasant spleen, the Virginia Avirulent Strain (VAS) has been effectively used as a live vaccine despite the immunosuppressive side-effects. However, the vaccinated birds are rendered more susceptible to opportunistic infections and death than unvaccinated cohorts</w:t>
      </w:r>
      <w:r>
        <w:t xml:space="preserve"> </w:t>
      </w:r>
      <w:r>
        <w:t xml:space="preserve">(4, 5, 8–10)</w:t>
      </w:r>
      <w:r>
        <w:t xml:space="preserve">.</w:t>
      </w:r>
    </w:p>
    <w:p>
      <w:pPr>
        <w:pStyle w:val="BodyText"/>
      </w:pPr>
      <w:r>
        <w:t xml:space="preserve">It is well established that THEV primarily infects and replicates in turkey B-cells of the bursa and spleen and to a lesser extent in macrophages, inducing apoptosis and necrosis</w:t>
      </w:r>
      <w:r>
        <w:t xml:space="preserve"> </w:t>
      </w:r>
      <w:r>
        <w:t xml:space="preserve">(6, 8)</w:t>
      </w:r>
      <w:r>
        <w:t xml:space="preserve">. Consequently, a significant drop in the number of B-cells (specifically, IgM+ B-cells) and macrophages ensues along with increased T-cell counts with abnormal ratios of T-cell subpopulations (CD4+ and CD8+)</w:t>
      </w:r>
      <w:r>
        <w:t xml:space="preserve"> </w:t>
      </w:r>
      <w:r>
        <w:t xml:space="preserve">(6, 8, 11)</w:t>
      </w:r>
      <w:r>
        <w:t xml:space="preserve">. The cell death seen in the infected B-cells and macrophages is generally proposed as the major cause of THEV-induced IMS as both humoral and cell-mediated immunity are impaired</w:t>
      </w:r>
      <w:r>
        <w:t xml:space="preserve"> </w:t>
      </w:r>
      <w:r>
        <w:t xml:space="preserve">(5, 8)</w:t>
      </w:r>
      <w:r>
        <w:t xml:space="preserve">. Immunopathogenesis via cytokines from T-cells and macrophages has also been suggested as a mechanism of apoptosis leading to IMS. It is thought that virus replication in the spleen attracts T-cells and peripheral blood macrophages, which results in T-cell activation by cytokines from activated macrophages and vice versa. The activated T-cells undergo clonal expansion and secrete type I (IFN-</w:t>
      </w:r>
      <m:oMath>
        <m:r>
          <m:t>α</m:t>
        </m:r>
      </m:oMath>
      <w:r>
        <w:t xml:space="preserve"> </w:t>
      </w:r>
      <w:r>
        <w:t xml:space="preserve">and IFN-</w:t>
      </w:r>
      <m:oMath>
        <m:r>
          <m:t>β</m:t>
        </m:r>
      </m:oMath>
      <w:r>
        <w:t xml:space="preserve">) and type II (IFN-</w:t>
      </w:r>
      <m:oMath>
        <m:r>
          <m:t>γ</m:t>
        </m:r>
      </m:oMath>
      <w:r>
        <w:t xml:space="preserve">) interferons as well as tumor necrosis factor (TNF), while activated macrophages secrete interleukin 6 (IL-6), TNF, and nitric oxide (NO). These cytokines may further contribute to apoptosis and necrosis in bystander splenocytes, culminating in IMS</w:t>
      </w:r>
      <w:r>
        <w:t xml:space="preserve"> </w:t>
      </w:r>
      <w:r>
        <w:t xml:space="preserve">(8, 11)</w:t>
      </w:r>
      <w:r>
        <w:t xml:space="preserve"> </w:t>
      </w:r>
      <w:r>
        <w:t xml:space="preserve">(</w:t>
      </w:r>
      <w:r>
        <w:rPr>
          <w:b/>
          <w:bCs/>
        </w:rPr>
        <w:t xml:space="preserve">Figure 1</w:t>
      </w:r>
      <w:r>
        <w:t xml:space="preserve">). However, the precise molecular mechanisms of THEV-induced IMS or the relevant intracellular signaling pathways are poorly understood</w:t>
      </w:r>
      <w:r>
        <w:t xml:space="preserve"> </w:t>
      </w:r>
      <w:r>
        <w:t xml:space="preserve">(6)</w:t>
      </w:r>
      <w:r>
        <w:t xml:space="preserve">. Elucidating the specific mechanisms and pathways of THEV-induced IMS is a crucial step in THEV research as it could present a means of mitigating IMS.</w:t>
      </w:r>
    </w:p>
    <w:p>
      <w:pPr>
        <w:pStyle w:val="BodyText"/>
      </w:pPr>
      <w:r>
        <w:t xml:space="preserve">Bulk mRNA sequencing (RNA-seq), a next generation sequencing approach to transcriptomic studies, is a versatile, high throughput, and cost-effective technology that allows a broad survey of the entire transcriptome of a cell population, thereby uncovering the active genes and molecular pathways and processes. This technology has been leveraged in an ever-increasing number of studies to elucidate active cellular processes under a wide range of treatment conditions, including viral infections</w:t>
      </w:r>
      <w:r>
        <w:t xml:space="preserve"> </w:t>
      </w:r>
      <w:r>
        <w:t xml:space="preserve">(12–16)</w:t>
      </w:r>
      <w:r>
        <w:t xml:space="preserve">. In RNA-seq studies, differentially expressed genes (DEGs) identified by contrasting pairs of different experimental conditions are key to unlocking the interesting biology or mechanism.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our knowledge, no study has used RNA-seq to elucidate the molecular mechanisms and pathways leading to THEV-induced IMS. To effectively counteract the immunosuppressive effect of the vaccine, it is essential to unravel the host cell processes/pathways influenced by the virus to bring about IMS. In this study, we present the first transcriptomic profile of THEV-infected cells using paired-end bulk RNA-seq in a turkey B-cell line (MDTC-RP19), highlighting key host genes, cellular/molecular processes and pathways affected during a THEV time course infection. We specifically focus on cellular processes related to cell survivability that can elucidate THEV-induced IMS.</w:t>
      </w:r>
      <w:r>
        <w:t xml:space="preserve"> </w:t>
      </w:r>
    </w:p>
    <w:bookmarkEnd w:id="23"/>
    <w:bookmarkStart w:id="32" w:name="materials-and-methods"/>
    <w:p>
      <w:pPr>
        <w:pStyle w:val="Heading2"/>
      </w:pPr>
      <w:r>
        <w:t xml:space="preserve">2. Materials and Methods</w:t>
      </w:r>
    </w:p>
    <w:bookmarkStart w:id="24" w:name="cell-culture-and-infection"/>
    <w:p>
      <w:pPr>
        <w:pStyle w:val="Heading3"/>
      </w:pPr>
      <w:r>
        <w:t xml:space="preserve">Cell culture and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(19)</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remove unattached virus particles. At each time point (4-, 12-, 24-, and 72-hpi), triplicate (THEV-infected) and duplicate (mock-infected) samples were harvested for total RNA extraction.</w:t>
      </w:r>
    </w:p>
    <w:bookmarkEnd w:id="24"/>
    <w:bookmarkStart w:id="25"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Agarose gel electrophoresis was performed to check RNA integrity (data not shown).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samples with an RNA integrity number (RIN) &lt; 7 were excluded. Poly(A) RNA-seq library was prepared following Illumina’s TruSeq-stranded-mRNA sample preparation protocol. Paired-end sequencing, generating 149 bp reads was performed on the Illumina NovaSeq 6000 sequencing system. The paired-end 149 bp sequences obtained during this study and all expression data have been submitted to the Gene Expression Omnibus database, under accession no GSE286211</w:t>
      </w:r>
    </w:p>
    <w:bookmarkEnd w:id="25"/>
    <w:bookmarkStart w:id="27"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(20)</w:t>
      </w:r>
      <w:r>
        <w:t xml:space="preserve">, using Snakemake - version 7.32.4</w:t>
      </w:r>
      <w:r>
        <w:t xml:space="preserve"> </w:t>
      </w:r>
      <w:r>
        <w:t xml:space="preserve">(21)</w:t>
      </w:r>
      <w:r>
        <w:t xml:space="preserve">, a popular workflow management system to drive the pipeline. Briefly, raw sequencing reads were trimmed with Cutadapt - version 1.10</w:t>
      </w:r>
      <w:r>
        <w:t xml:space="preserve"> </w:t>
      </w:r>
      <w:r>
        <w:t xml:space="preserve">(22)</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 turkey (</w:t>
      </w:r>
      <w:r>
        <w:rPr>
          <w:i/>
          <w:iCs/>
        </w:rPr>
        <w:t xml:space="preserve">Meleagris gallopavo</w:t>
      </w:r>
      <w:r>
        <w:t xml:space="preserve">) genome file GCF_000146605.3_Turkey_5.1_genomic.fna.gz from NCBI (genome build: melGal5) (</w:t>
      </w:r>
      <w:hyperlink r:id="rId26">
        <w:r>
          <w:rPr>
            <w:rStyle w:val="Hyperlink"/>
          </w:rPr>
          <w:t xml:space="preserve">https://ftp.ncbi.nlm.nih.gov/genomes/all/GCF/000/146/605/GCF_000146605.3_Turkey_5.1/</w:t>
        </w:r>
      </w:hyperlink>
      <w:r>
        <w:t xml:space="preserve">) with Hisat2 - version 2.2.1</w:t>
      </w:r>
      <w:r>
        <w:t xml:space="preserve"> </w:t>
      </w:r>
      <w:r>
        <w:t xml:space="preserve">(20)</w:t>
      </w:r>
      <w:r>
        <w:t xml:space="preserve"> </w:t>
      </w:r>
      <w:r>
        <w:t xml:space="preserve">using the accompanying gene transfer format (GTF) annotation file (GCF_000146605.3_Turkey_5.1_genomic.gtf.gz) to build a genomic index. Samtools - version 1.21 was used to convert the output Sequence Alignment Map (SAM) file to the Binary Alignment Map (BAM) format. The StringTie (v2.2.1) software</w:t>
      </w:r>
      <w:r>
        <w:t xml:space="preserve"> </w:t>
      </w:r>
      <w:r>
        <w:t xml:space="preserve">(20)</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27"/>
    <w:bookmarkStart w:id="28"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DESeq2</w:t>
      </w:r>
      <w:r>
        <w:t xml:space="preserve"> </w:t>
      </w:r>
      <w:r>
        <w:t xml:space="preserve">(23)</w:t>
      </w:r>
      <w:r>
        <w:t xml:space="preserve">, which employs a Negative Binomial distribution model for determining statistical significance when comparing read counts from multiple replicates. Genes with (FDR)-adjusted P-value</w:t>
      </w:r>
      <w:r>
        <w:t xml:space="preserve"> </w:t>
      </w:r>
      <m:oMath>
        <m:r>
          <m:rPr>
            <m:sty m:val="p"/>
          </m:rPr>
          <m:t>≤</m:t>
        </m:r>
      </m:oMath>
      <w:r>
        <w:t xml:space="preserve"> </w:t>
      </w:r>
      <w:r>
        <w:t xml:space="preserve">0.05 were considered as differentially expressed. The sequencing data (FASTQ files), expression-count matrix, and DEG analysis results from DESeq2 are deposited at NCBI Gene Expression Omnibus under accession number GSE286211. The functional profiling of DEGs (GO and KEGG analyses) were performed based on GO databases and KEGG databases using DAVID and the R package gprofiler2</w:t>
      </w:r>
      <w:r>
        <w:t xml:space="preserve"> </w:t>
      </w:r>
      <w:r>
        <w:t xml:space="preserve">(24)</w:t>
      </w:r>
      <w:r>
        <w:t xml:space="preserve"> </w:t>
      </w:r>
      <w:r>
        <w:t xml:space="preserve">with</w:t>
      </w:r>
      <w:r>
        <w:t xml:space="preserve"> </w:t>
      </w:r>
      <w:r>
        <w:rPr>
          <w:i/>
          <w:iCs/>
        </w:rPr>
        <w:t xml:space="preserve">M.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(25–27)</w:t>
      </w:r>
      <w:r>
        <w:t xml:space="preserve">.</w:t>
      </w:r>
    </w:p>
    <w:bookmarkEnd w:id="28"/>
    <w:bookmarkStart w:id="30"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cells were infected and RNA extracted as described for the RNA sequencing samples with three biological replicates at 12- and 24-hpi each for both THEV-infected or mock-infected samples. First-strand cDNA synthesis of total RNA was performed with an oligo-dT primer to amplify poly-A-tailed mRNA using SuperScript™ IV First-Strand Synthesis System. The parent RNA was digested using RNase H after cDNA synthesis was complete to ensured that only cDNA remained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29">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S1</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(28)</w:t>
      </w:r>
      <w:r>
        <w:t xml:space="preserve">.</w:t>
      </w:r>
    </w:p>
    <w:bookmarkEnd w:id="30"/>
    <w:bookmarkStart w:id="31"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p-value</w:t>
      </w:r>
      <w:r>
        <w:t xml:space="preserve"> </w:t>
      </w:r>
      <m:oMath>
        <m:r>
          <m:rPr>
            <m:sty m:val="p"/>
          </m:rPr>
          <m:t>≤</m:t>
        </m:r>
      </m:oMath>
      <w:r>
        <w:t xml:space="preserve"> </w:t>
      </w:r>
      <w:r>
        <w:t xml:space="preserve">0.05 was considered statistically significant.</w:t>
      </w:r>
      <w:r>
        <w:t xml:space="preserve"> </w:t>
      </w:r>
    </w:p>
    <w:bookmarkEnd w:id="31"/>
    <w:bookmarkEnd w:id="32"/>
    <w:bookmarkStart w:id="53" w:name="results"/>
    <w:p>
      <w:pPr>
        <w:pStyle w:val="Heading2"/>
      </w:pPr>
      <w:r>
        <w:t xml:space="preserve">3. Results</w:t>
      </w:r>
    </w:p>
    <w:p>
      <w:pPr>
        <w:pStyle w:val="FirstParagraph"/>
      </w:pPr>
      <w:r>
        <w:rPr>
          <w:b/>
          <w:bCs/>
        </w:rPr>
        <w:t xml:space="preserve">3.1.1 Sequencing Results</w:t>
      </w:r>
      <w:r>
        <w:br/>
      </w:r>
      <w:r>
        <w:t xml:space="preserve">To identify the host transcriptomic profile during THEV infection, we infected MDTC-RP19 cells with THEV or no virus (mock) in triplicates or duplicates, respectively, and harvested at total RNA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reference genome of</w:t>
      </w:r>
      <w:r>
        <w:t xml:space="preserve"> </w:t>
      </w:r>
      <w:r>
        <w:rPr>
          <w:i/>
          <w:iCs/>
        </w:rPr>
        <w:t xml:space="preserve">M. gallopavo</w:t>
      </w:r>
      <w:r>
        <w:t xml:space="preserve"> </w:t>
      </w:r>
      <w:r>
        <w:t xml:space="preserve">obtained from the National Center for Biotechnology Information (NCBI). The percentage of reads that mapped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We observed that the fraction of reads that mapped to the host genome decreased while those mapping to the virus genome increased over the course of the infection as the viral infectious cycle progressed. Despite excellent quality scores at all time points (</w:t>
      </w:r>
      <w:r>
        <w:rPr>
          <w:b/>
          <w:bCs/>
        </w:rPr>
        <w:t xml:space="preserve">Table 1</w:t>
      </w:r>
      <w:r>
        <w:t xml:space="preserve">), DEGs identified at 4- and 72-hpi did not yield any statistically significant results in the downstream functional enrichment analyses (GO term and KEGG pathway analysis) and they were excluded from all subsequent analyses. In the remaining 12- and 24-hpi samples, a high consistency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3.1.2 DEGs of THEV-infected Versus Mock-infected Cells</w:t>
      </w:r>
    </w:p>
    <w:p>
      <w:pPr>
        <w:pStyle w:val="BodyText"/>
      </w:pPr>
      <w:r>
        <w:t xml:space="preserve">We quantified gene expression levels with the StringTie software</w:t>
      </w:r>
      <w:r>
        <w:t xml:space="preserve"> </w:t>
      </w:r>
      <w:r>
        <w:t xml:space="preserve">(20)</w:t>
      </w:r>
      <w:r>
        <w:t xml:space="preserve"> </w:t>
      </w:r>
      <w:r>
        <w:t xml:space="preserve">in Fragments per kilobase of transcript per million (FPKM) units. The differential expression analysis of DEGs was performed with the DESeq2 R package</w:t>
      </w:r>
      <w:r>
        <w:t xml:space="preserve"> </w:t>
      </w:r>
      <w:r>
        <w:t xml:space="preserve">(23)</w:t>
      </w:r>
      <w:r>
        <w:t xml:space="preserve"> </w:t>
      </w:r>
      <w:r>
        <w:t xml:space="preserve">which employs a negative binomial distribution model for determining statistical significance. Using a false discovery rate (FDR)-adjusted P-value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from THEV-infected samples were identified as differentially expressed relative to their time-matched mock-infected samples at 12-hpi and 24-hpi, respectively. The results from the DEG analyses at 12- and 24-hpi have been deposited in NCBI Gene Expression Omnibus (</w:t>
      </w:r>
      <w:hyperlink r:id="rId33">
        <w:r>
          <w:rPr>
            <w:rStyle w:val="Hyperlink"/>
          </w:rPr>
          <w:t xml:space="preserve">http://www.ncbi.nlm.nih.gov/geo</w:t>
        </w:r>
      </w:hyperlink>
      <w:r>
        <w:t xml:space="preserve">) under accession number GSE286211 with files named total_12hrsDEGs.csv.gz and total_24hrsDEGs.csv.gz, respectively. We compared THEV-infected samples relative to their time-matched mock-infected samples in identifying the significant DEGs and in the functional enrichment analyses. At 12-hpi (THEV-infected versus mock-infected), we found</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(THEV-infected versus mock-infected)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 (FC)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3.1.3 Functional Enrichment Analyses (GO and KEGG pathway Analyses)</w:t>
      </w:r>
      <w:r>
        <w:br/>
      </w:r>
      <w:r>
        <w:t xml:space="preserve">Gene ontology (GO) enrichment analysis was performed for the DEGs determined at the 12- and 24-hpi timepoints with the DAVID (Database for Annotation, Visualization and Integrated Discovery; version 2021) online resource</w:t>
      </w:r>
      <w:r>
        <w:t xml:space="preserve"> </w:t>
      </w:r>
      <w:r>
        <w:t xml:space="preserve">(29)</w:t>
      </w:r>
      <w:r>
        <w:t xml:space="preserve"> </w:t>
      </w:r>
      <w:r>
        <w:t xml:space="preserve">and the gprofiler2 R package – version</w:t>
      </w:r>
      <w:r>
        <w:t xml:space="preserve"> </w:t>
      </w:r>
      <w:r>
        <w:rPr>
          <w:b/>
          <w:bCs/>
        </w:rPr>
        <w:t xml:space="preserve">0.2.3</w:t>
      </w:r>
      <w:r>
        <w:t xml:space="preserve"> </w:t>
      </w:r>
      <w:r>
        <w:t xml:space="preserve">(24)</w:t>
      </w:r>
      <w:r>
        <w:t xml:space="preserve">, which outputs results according to the three branches of the GO directed acyclic graph – cellular components (CP), biological processes (BP), and molecular functions (MF). We compared THEV-infected samples relative to their time-matched mock-infected samples for each timepoint.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we observed that the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the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we found that the GO terms in the BP category for upregulated DEGs were associated with apoptosis and autophagy, lipid and sterol biosynthesis, catabolic process, protein ubiquitination and proteolysis, cell signaling,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the GO terms were related to cytoplasmic vacuolation and the lysosome, similar to those identified at 12-hpi. In the MF category, the GO terms grouped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the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the GO terms grouped into structural components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(24)</w:t>
      </w:r>
      <w:r>
        <w:t xml:space="preserve"> </w:t>
      </w:r>
      <w:r>
        <w:t xml:space="preserve">and the DAVID online resource. Both resources gave similar results, but the results from DAVID (</w:t>
      </w:r>
      <w:r>
        <w:rPr>
          <w:b/>
          <w:bCs/>
        </w:rPr>
        <w:t xml:space="preserve">Table 4</w:t>
      </w:r>
      <w:r>
        <w:t xml:space="preserve">) included more information than the gprofiler2 results (</w:t>
      </w:r>
      <w:r>
        <w:rPr>
          <w:b/>
          <w:bCs/>
        </w:rPr>
        <w:t xml:space="preserve">Table S2</w:t>
      </w:r>
      <w:r>
        <w:t xml:space="preserve">). The results from the KEGG pathway analysis were consistent with the GO results, revealing that generally, cell maintenance and upkeep pathways were downregulated while cell death and breakdown pathways were upregulated. We observed that cell maintenance pathways such as DNA replication and repair, ribosome biogenesis, spliceosome, and oxidative phosphorylation were downregulated at both 12- and 24-hpi. Pathways such as: autophagy, response to virus (Influenza A), and steroid biosynthesis were upregulated at 12-hpi, which is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(8, 11, 30)</w:t>
      </w:r>
      <w:r>
        <w:t xml:space="preserve">. Hence, we were particularly interested in cellular processes and pathways associated with cell death and pathways that may affect the survival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pPr>
        <w:pStyle w:val="BodyText"/>
      </w:pPr>
      <w:r>
        <w:rPr>
          <w:b/>
          <w:bCs/>
        </w:rPr>
        <w:t xml:space="preserve">3.1.4 Cell Death and Breakdown Pathways Upregulated by THEV</w:t>
      </w:r>
      <w:r>
        <w:br/>
      </w:r>
      <w:r>
        <w:t xml:space="preserve">Many virus families, including adenoviruses, herpesviruses, poxviruses, baculoviruses, parvoviruses, retroviruses, rhabdoviruses, paramyxoviruses, orthomyxoviruses, togaviruses, and picornaviruses are known to trigger apoptosis in infected host cells either through direct viral protein action or the host antiviral response</w:t>
      </w:r>
      <w:r>
        <w:t xml:space="preserve"> </w:t>
      </w:r>
      <w:r>
        <w:t xml:space="preserve">(31–33)</w:t>
      </w:r>
      <w:r>
        <w:t xml:space="preserve">. Our data show that apoptotic and autophagic pathways are upregulated during THEV infection, supporting previous findings of apoptosis and necrosis of THEV-infected cells</w:t>
      </w:r>
      <w:r>
        <w:t xml:space="preserve"> </w:t>
      </w:r>
      <w:r>
        <w:t xml:space="preserve">(8, 11, 30)</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at both timepoints.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also typical in Mastadenovirus infections.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3.1.5 Downregulation of Cell Maintenance Pathways</w:t>
      </w:r>
      <w:r>
        <w:br/>
      </w:r>
      <w:r>
        <w:t xml:space="preserve">Forcibly transitioning the host cell cycle to the S phase during the early phase of infection is a prerequisite for a productive adenovirus infection</w:t>
      </w:r>
      <w:r>
        <w:t xml:space="preserve"> </w:t>
      </w:r>
      <w:r>
        <w:t xml:space="preserve">(34)</w:t>
      </w:r>
      <w:r>
        <w:t xml:space="preserve">.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(34, 35)</w:t>
      </w:r>
      <w:r>
        <w:t xml:space="preserve">. Our GO and KEGG pathway results showed that at 12-hpi,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the observation in Mastadenoviruses, the cell cycle regulation at 12- and 24-hpi seem complicated as some key cell cycle-related genes and general cell maintenance processes were concurrently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(36)</w:t>
      </w:r>
      <w:r>
        <w:t xml:space="preserve">. Repression of host RNA and protein synthesis is also strongly associated with apoptosis</w:t>
      </w:r>
      <w:r>
        <w:t xml:space="preserve"> </w:t>
      </w:r>
      <w:r>
        <w:t xml:space="preserve">(37)</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at both timepoints.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w:t>
      </w:r>
    </w:p>
    <w:p>
      <w:pPr>
        <w:pStyle w:val="BodyText"/>
      </w:pPr>
      <w:r>
        <w:t xml:space="preserve">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at both 12- and 24-hpi.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w:t>
      </w:r>
    </w:p>
    <w:p>
      <w:pPr>
        <w:pStyle w:val="BodyText"/>
      </w:pPr>
      <w:r>
        <w:rPr>
          <w:b/>
          <w:bCs/>
        </w:rPr>
        <w:t xml:space="preserve">3.1.6 Endoplasmic Reticulum (ER) Stress Response during THEV infection</w:t>
      </w:r>
      <w:r>
        <w:br/>
      </w:r>
      <w:r>
        <w:t xml:space="preserve">Our KEGG pathway analysis (</w:t>
      </w:r>
      <w:r>
        <w:rPr>
          <w:b/>
          <w:bCs/>
        </w:rPr>
        <w:t xml:space="preserve">Table 4</w:t>
      </w:r>
      <w:r>
        <w:t xml:space="preserve">) showed that protein processing in the ER, and ubiquitin-mediated proteolysis are significantly upregulated (</w:t>
      </w:r>
      <w:r>
        <w:rPr>
          <w:b/>
          <w:bCs/>
        </w:rPr>
        <w:t xml:space="preserve">Figure 5</w:t>
      </w:r>
      <w:r>
        <w:t xml:space="preserve">). The GO results (</w:t>
      </w:r>
      <w:r>
        <w:rPr>
          <w:b/>
          <w:bCs/>
        </w:rPr>
        <w:t xml:space="preserve">Table 3A</w:t>
      </w:r>
      <w:r>
        <w:t xml:space="preserve">) showed that specifically, ER stress and the ER‐associated protein degradation (ERAD) pathway, a branch of the unfolded protein response (UPR) were upregulated during THEV infection, especially at 24-hpi. The ER is the major site for protein synthesis, folding and quality control, and sorting</w:t>
      </w:r>
      <w:r>
        <w:t xml:space="preserve"> </w:t>
      </w:r>
      <w:r>
        <w:t xml:space="preserve">(38)</w:t>
      </w:r>
      <w:r>
        <w:t xml:space="preserve">.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w:t>
      </w:r>
      <w:r>
        <w:t xml:space="preserve"> </w:t>
      </w:r>
      <w:r>
        <w:t xml:space="preserve">(38)</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Other genes related to other UPR pathways such as</w:t>
      </w:r>
      <w:r>
        <w:t xml:space="preserve"> </w:t>
      </w:r>
      <w:r>
        <w:rPr>
          <w:i/>
          <w:iCs/>
        </w:rPr>
        <w:t xml:space="preserve">HSPA5</w:t>
      </w:r>
      <w:r>
        <w:t xml:space="preserve"> </w:t>
      </w:r>
      <w:r>
        <w:t xml:space="preserve">and</w:t>
      </w:r>
      <w:r>
        <w:t xml:space="preserve"> </w:t>
      </w:r>
      <w:r>
        <w:rPr>
          <w:i/>
          <w:iCs/>
        </w:rPr>
        <w:t xml:space="preserve">ATF4</w:t>
      </w:r>
      <w:r>
        <w:t xml:space="preserve"> </w:t>
      </w:r>
      <w:r>
        <w:t xml:space="preserve">were also upregulated. Our KEGG pathway (</w:t>
      </w:r>
      <w:r>
        <w:rPr>
          <w:b/>
          <w:bCs/>
        </w:rPr>
        <w:t xml:space="preserve">Table S2</w:t>
      </w:r>
      <w:r>
        <w:t xml:space="preserve">) and GO (</w:t>
      </w:r>
      <w:r>
        <w:rPr>
          <w:b/>
          <w:bCs/>
        </w:rPr>
        <w:t xml:space="preserve">Figure 4B</w:t>
      </w:r>
      <w:r>
        <w:t xml:space="preserve">) results indicated a significant upregulation of ubiquitin-mediated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ubiquitin-like modifier activating enzyme 6 (</w:t>
      </w:r>
      <w:r>
        <w:rPr>
          <w:i/>
          <w:iCs/>
        </w:rPr>
        <w:t xml:space="preserve">UBA6</w:t>
      </w:r>
      <w:r>
        <w:t xml:space="preserve">) showing significant upregulation. Additionally, the heat shock family of chaperone proteins such as the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at 24-hpi. Moreover, the KEGG pathway analysis (</w:t>
      </w:r>
      <w:r>
        <w:rPr>
          <w:b/>
          <w:bCs/>
        </w:rPr>
        <w:t xml:space="preserve">Table 4</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3.1.7 Differential Expression of Cytokine and Cytokine Receptor-encoding Genes</w:t>
      </w:r>
      <w:r>
        <w:br/>
      </w:r>
      <w:r>
        <w:t xml:space="preserve">Our KEGG pathway results showed that a pathway similar to immune response to influenza A infection was upregulated at 12-hpi. Our GO analysis also identified terms such as regulation of lymphocyte activation and regulation of cytokine production as upregulated at both 12- and 24-hpi. Genes involved include</w:t>
      </w:r>
      <w:r>
        <w:t xml:space="preserve"> </w:t>
      </w:r>
      <w:r>
        <w:rPr>
          <w:i/>
          <w:iCs/>
        </w:rPr>
        <w:t xml:space="preserve">IL18, IL2RB, IL4R, IL5RA</w:t>
      </w:r>
      <w:r>
        <w:t xml:space="preserve">,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24-hpi and immunoglobulin production and isotype switching GO terms were downregulated at 12-hpi. This inconsistency is likely an indicator of the struggle between the virus and its host. While several cytokines were regulated by THEV as in the proposed model of THEV immunopathogenesis (</w:t>
      </w:r>
      <w:r>
        <w:rPr>
          <w:b/>
          <w:bCs/>
        </w:rPr>
        <w:t xml:space="preserve">Figure 1</w:t>
      </w:r>
      <w:r>
        <w:t xml:space="preserve">), the cytokines in the model (IFN-</w:t>
      </w:r>
      <m:oMath>
        <m:r>
          <m:t>α</m:t>
        </m:r>
      </m:oMath>
      <w:r>
        <w:t xml:space="preserve">, IFN-</w:t>
      </w:r>
      <m:oMath>
        <m:r>
          <m:t>β</m:t>
        </m:r>
      </m:oMath>
      <w:r>
        <w:t xml:space="preserve">, IFN-</w:t>
      </w:r>
      <m:oMath>
        <m:r>
          <m:t>γ</m:t>
        </m:r>
      </m:oMath>
      <w:r>
        <w:t xml:space="preserve"> </w:t>
      </w:r>
      <w:r>
        <w:t xml:space="preserve">TNF, and IL-6) were not significantly differentially expressed in our data. However, some of the differentially expressed cytokines and cytokine receptors (</w:t>
      </w:r>
      <w:r>
        <w:rPr>
          <w:i/>
          <w:iCs/>
        </w:rPr>
        <w:t xml:space="preserve">TNFRSF8, TRAF7</w:t>
      </w:r>
      <w:r>
        <w:t xml:space="preserve">) identified in this study are positive regulators of apoptosis; therefore, they may play a role in THEV-induced IMS.</w:t>
      </w:r>
    </w:p>
    <w:p>
      <w:pPr>
        <w:pStyle w:val="BodyText"/>
      </w:pPr>
      <w:r>
        <w:rPr>
          <w:b/>
          <w:bCs/>
        </w:rPr>
        <w:t xml:space="preserve">3.1.8 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6</w:t>
      </w:r>
      <w:r>
        <w:t xml:space="preserve">, the RT-qPCR results corroborate the RNA-seq results, further reinforcing the validity of the RNA-seq transcriptomic profile results. Although there was no inconsistency between the RNA-seq and RT-qPCR results in terms of gene regulations, the fold changes in the RT-qPCR results were consistently higher than observed in the RNA-seq results. Our RT-qPCR primers showed excellent target specificity; only one amplicon of the expected size was amplified as shown by the melt curves (data not shown) and gel electrophoresis (</w:t>
      </w:r>
      <w:r>
        <w:rPr>
          <w:b/>
          <w:bCs/>
        </w:rPr>
        <w:t xml:space="preserve">Figure S1</w:t>
      </w:r>
      <w:r>
        <w:t xml:space="preserve">). According to our Student’s T-test and Mann-Whitney U test, the difference in gene expression levels in all the selected genes were statistically significant.</w:t>
      </w:r>
      <w:r>
        <w:t xml:space="preserve"> </w:t>
      </w:r>
    </w:p>
    <w:bookmarkStart w:id="52" w:name="tables-and-figures"/>
    <w:p>
      <w:pPr>
        <w:pStyle w:val="Heading3"/>
      </w:pPr>
      <w:r>
        <w:t xml:space="preserve">3.2 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34"/>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w:t>
      </w:r>
      <w:r>
        <w:t xml:space="preserve"> </w:t>
      </w:r>
      <w:r>
        <w:t xml:space="preserve">Model of THEV-induced immunosuppression in turkeys.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37"/>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w:t>
      </w:r>
      <w:r>
        <w:t xml:space="preserve"> </w:t>
      </w:r>
      <w:r>
        <w:t xml:space="preserve">(A) Principal component analysis (PCA) of turkey B-cells during THEV infection. At 12-hpi (</w:t>
      </w:r>
      <w:r>
        <w:rPr>
          <w:b/>
          <w:bCs/>
        </w:rPr>
        <w:t xml:space="preserve">A1</w:t>
      </w:r>
      <w:r>
        <w:t xml:space="preserve">), the results indicate that the first (PC1) and second (PC2) principal components account for 96% and 3% of the variation in the samples, respectively. Whereas PC1 and PC2 account for 96% and 2% of the variation, respectively at 24-hpi (</w:t>
      </w:r>
      <w:r>
        <w:rPr>
          <w:b/>
          <w:bCs/>
        </w:rPr>
        <w:t xml:space="preserve">A2</w:t>
      </w:r>
      <w:r>
        <w:t xml:space="preserve">). (</w:t>
      </w:r>
      <w:r>
        <w:rPr>
          <w:b/>
          <w:bCs/>
        </w:rPr>
        <w:t xml:space="preserve">B</w:t>
      </w:r>
      <w:r>
        <w:t xml:space="preserve">) Poisson distance matrices illustrating the RNA-seq library integrity within treatment (infected versus mock) groups. The color scale represents the distances between biological replicates for both 12-hpi samples (</w:t>
      </w:r>
      <w:r>
        <w:rPr>
          <w:b/>
          <w:bCs/>
        </w:rPr>
        <w:t xml:space="preserve">B1</w:t>
      </w:r>
      <w:r>
        <w:t xml:space="preserve">) and 24-hpi samples (</w:t>
      </w:r>
      <w:r>
        <w:rPr>
          <w:b/>
          <w:bCs/>
        </w:rPr>
        <w:t xml:space="preserve">B2</w:t>
      </w:r>
      <w:r>
        <w:t xml:space="preserve">). Dark colors represent high correlation (similarity) between the samples involved. (</w:t>
      </w:r>
      <w:r>
        <w:rPr>
          <w:b/>
          <w:bCs/>
        </w:rPr>
        <w:t xml:space="preserve">C</w:t>
      </w:r>
      <w:r>
        <w:t xml:space="preserve">) Volcano plots of DEGs between THEV-infected versus mock-infected cells at 12- and 24-hpi. Red, blue, and grey dots represent upregulated, downregulated, and non-significant genes, respectively for both 12-hpi samples (</w:t>
      </w:r>
      <w:r>
        <w:rPr>
          <w:b/>
          <w:bCs/>
        </w:rPr>
        <w:t xml:space="preserve">C1</w:t>
      </w:r>
      <w:r>
        <w:t xml:space="preserve">) and 24-hpi samples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blue circle represents genes at 4-hpi, the yellow circle, 12-hpi, and the green circle, 24-hpi. For the downregulated genes (C2), the red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w:t>
      </w:r>
      <w:r>
        <w:t xml:space="preserve"> </w:t>
      </w:r>
      <w:r>
        <w:t xml:space="preserve">DEGs of THEV-infected versus mock-infected samples at different time points. (</w:t>
      </w:r>
      <w:r>
        <w:rPr>
          <w:b/>
          <w:bCs/>
        </w:rPr>
        <w:t xml:space="preserve">A</w:t>
      </w:r>
      <w:r>
        <w:t xml:space="preserve">) Bar plot of number DEGs identified. Red represents upregulated genes and blue represents downregulated genes. (</w:t>
      </w:r>
      <w:r>
        <w:rPr>
          <w:b/>
          <w:bCs/>
        </w:rPr>
        <w:t xml:space="preserve">B</w:t>
      </w:r>
      <w:r>
        <w:t xml:space="preserve">) Heatmaps of scaled expression data (Z-scores) of DEGs. DEGs identified at 12-hpi are shown in (</w:t>
      </w:r>
      <w:r>
        <w:rPr>
          <w:b/>
          <w:bCs/>
        </w:rPr>
        <w:t xml:space="preserve">B1</w:t>
      </w:r>
      <w:r>
        <w:t xml:space="preserve">) and DEGs at 24-hpi in (</w:t>
      </w:r>
      <w:r>
        <w:rPr>
          <w:b/>
          <w:bCs/>
        </w:rPr>
        <w:t xml:space="preserve">B2</w:t>
      </w:r>
      <w:r>
        <w:t xml:space="preserve">). (</w:t>
      </w:r>
      <w:r>
        <w:rPr>
          <w:b/>
          <w:bCs/>
        </w:rPr>
        <w:t xml:space="preserve">C</w:t>
      </w:r>
      <w:r>
        <w:t xml:space="preserve">) Venn diagrams showing the number of DEGs identified at different time points. For the upregulated genes (</w:t>
      </w:r>
      <w:r>
        <w:rPr>
          <w:b/>
          <w:bCs/>
        </w:rPr>
        <w:t xml:space="preserve">C1</w:t>
      </w:r>
      <w:r>
        <w:t xml:space="preserve">), the blue circle represents genes at 4-hpi, the yellow circle, 12-hpi, and the green circle, 24-hpi. For the downregulated genes (</w:t>
      </w:r>
      <w:r>
        <w:rPr>
          <w:b/>
          <w:bCs/>
        </w:rPr>
        <w:t xml:space="preserve">C2</w:t>
      </w:r>
      <w:r>
        <w:t xml:space="preserve">), the red circle represents genes at 72-hpi, while all the other time points retain the colors from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43"/>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w:t>
      </w:r>
      <w:r>
        <w:t xml:space="preserve"> </w:t>
      </w:r>
      <w:r>
        <w:t xml:space="preserve">Dotplot of Enriched Gene Ontology Biological Processes (BP). Significant BP GO terms identified for upregulated DEGs at 12-hpi and 24-hpi are shown in (</w:t>
      </w:r>
      <w:r>
        <w:rPr>
          <w:b/>
          <w:bCs/>
        </w:rPr>
        <w:t xml:space="preserve">A</w:t>
      </w:r>
      <w:r>
        <w:t xml:space="preserve">) and (</w:t>
      </w:r>
      <w:r>
        <w:rPr>
          <w:b/>
          <w:bCs/>
        </w:rPr>
        <w:t xml:space="preserve">B</w:t>
      </w:r>
      <w:r>
        <w:t xml:space="preserve">), respectively. Significant BP GO terms for downregulated DEGs at 12-hpi and 24-hpi are shown in (</w:t>
      </w:r>
      <w:r>
        <w:rPr>
          <w:b/>
          <w:bCs/>
        </w:rPr>
        <w:t xml:space="preserve">C</w:t>
      </w:r>
      <w:r>
        <w:t xml:space="preserve">) and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144749"/>
            <wp:effectExtent b="0" l="0" r="0" t="0"/>
            <wp:docPr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to limited annotation of the host genome, a significant proportion of the DEGs were not recognized by the database; hence not shown here. Figure generated from KEGG pathway analysis in DAVID." title="" id="9" name="Picture"/>
            <a:graphic>
              <a:graphicData uri="http://schemas.openxmlformats.org/drawingml/2006/picture">
                <pic:pic>
                  <pic:nvPicPr>
                    <pic:cNvPr descr="results/upr_pathway.png" id="10" name="Picture"/>
                    <pic:cNvPicPr>
                      <a:picLocks noChangeArrowheads="1" noChangeAspect="1"/>
                    </pic:cNvPicPr>
                  </pic:nvPicPr>
                  <pic:blipFill>
                    <a:blip r:embed="rId46"/>
                    <a:stretch>
                      <a:fillRect/>
                    </a:stretch>
                  </pic:blipFill>
                  <pic:spPr bwMode="auto">
                    <a:xfrm>
                      <a:off x="0" y="0"/>
                      <a:ext cx="5943600" cy="4144749"/>
                    </a:xfrm>
                    <a:prstGeom prst="rect">
                      <a:avLst/>
                    </a:prstGeom>
                    <a:noFill/>
                    <a:ln w="9525">
                      <a:noFill/>
                      <a:headEnd/>
                      <a:tailEnd/>
                    </a:ln>
                  </pic:spPr>
                </pic:pic>
              </a:graphicData>
            </a:graphic>
          </wp:inline>
        </w:drawing>
      </w:r>
    </w:p>
    <w:p>
      <w:pPr>
        <w:pStyle w:val="ImageCaption"/>
      </w:pPr>
      <w:r>
        <w:rPr>
          <w:b/>
          <w:bCs/>
        </w:rPr>
        <w:t xml:space="preserve">Figure 5.</w:t>
      </w:r>
      <w:r>
        <w:t xml:space="preserve"> </w:t>
      </w:r>
      <w:r>
        <w:t xml:space="preserve">Upregulation of ER Unfolded Protein Response (UPR). KEGG Pathway analysis shows multiple key genes involved in the ER UPR were upregulated. All genes from our DEG list are annotated with the red star. Notably,</w:t>
      </w:r>
      <w:r>
        <w:t xml:space="preserve"> </w:t>
      </w:r>
      <w:r>
        <w:rPr>
          <w:i/>
          <w:iCs/>
        </w:rPr>
        <w:t xml:space="preserve">ATF4, PERK, VCP (p97), TRAF2, UFD1</w:t>
      </w:r>
      <w:r>
        <w:t xml:space="preserve"> </w:t>
      </w:r>
      <w:r>
        <w:t xml:space="preserve">and several BCL2 and heat shock proteins are upregulated. We see that the PERK branch of the UPR pathway linked to apoptosis is upregulated. Another pathway linked to apoptosis via</w:t>
      </w:r>
      <w:r>
        <w:t xml:space="preserve"> </w:t>
      </w:r>
      <w:r>
        <w:rPr>
          <w:i/>
          <w:iCs/>
        </w:rPr>
        <w:t xml:space="preserve">BAX</w:t>
      </w:r>
      <w:r>
        <w:t xml:space="preserve"> </w:t>
      </w:r>
      <w:r>
        <w:t xml:space="preserve">is shown as well as the ERAD protein degradation pathway. Note that due to limited annotation of the host genome, a significant proportion of the DEGs were not recognized by the database; hence not shown here.</w:t>
      </w:r>
      <w:r>
        <w:t xml:space="preserve"> </w:t>
      </w:r>
      <w:r>
        <w:rPr>
          <w:i/>
          <w:iCs/>
        </w:rPr>
        <w:t xml:space="preserve">Figure generated from KEGG pathway analysis in DAVID</w:t>
      </w:r>
      <w:r>
        <w:t xml:space="preserve">.</w:t>
      </w:r>
    </w:p>
    <w:p>
      <w:pPr>
        <w:pStyle w:val="CaptionedFigure"/>
      </w:pPr>
      <w:r>
        <w:drawing>
          <wp:inline>
            <wp:extent cx="5943600" cy="4953000"/>
            <wp:effectExtent b="0" l="0" r="0" t="0"/>
            <wp:docPr descr="Figure 6. Validation of representative DEGs involved in Apoptosis, Protein synthesis, and ER-stress responses by RT-qPCR. MDTC-RP19 cells infected with THEV- or mock-infected were subjected to RT-qPCR analysis for the relative expression of the indicated DEGs at 24-hpi. GAPDH was used as the internal control. Data are expressed as the mean \pm SD. All genes (THEV-infected) are statistically differentially expressed relative to their time-matched mock-infected counterparts based on Student’s t-test and Mann-Whitney U test." title="" id="11" name="Picture"/>
            <a:graphic>
              <a:graphicData uri="http://schemas.openxmlformats.org/drawingml/2006/picture">
                <pic:pic>
                  <pic:nvPicPr>
                    <pic:cNvPr descr="results/r/figures/qpcr_validation.png" id="12" name="Picture"/>
                    <pic:cNvPicPr>
                      <a:picLocks noChangeArrowheads="1" noChangeAspect="1"/>
                    </pic:cNvPicPr>
                  </pic:nvPicPr>
                  <pic:blipFill>
                    <a:blip r:embed="rId49"/>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6.</w:t>
      </w:r>
      <w:r>
        <w:t xml:space="preserve"> </w:t>
      </w:r>
      <w:r>
        <w:t xml:space="preserve">Validation of representative DEGs involved in Apoptosis, Protein synthesis, and ER-stress responses by RT-qPCR. MDTC-RP19 cells infected with THEV- or mock-infected were subjected to RT-qPCR analysis for the relative expression of the indicated DEGs at 24-hpi.</w:t>
      </w:r>
      <w:r>
        <w:t xml:space="preserve"> </w:t>
      </w:r>
      <w:r>
        <w:rPr>
          <w:i/>
          <w:iCs/>
        </w:rPr>
        <w:t xml:space="preserve">GAPDH</w:t>
      </w:r>
      <w:r>
        <w:t xml:space="preserve"> </w:t>
      </w:r>
      <w:r>
        <w:t xml:space="preserve">was used as the internal control. Data are expressed as the mean</w:t>
      </w:r>
      <w:r>
        <w:t xml:space="preserve"> </w:t>
      </w:r>
      <m:oMath>
        <m:r>
          <m:rPr>
            <m:sty m:val="p"/>
          </m:rPr>
          <m:t>±</m:t>
        </m:r>
      </m:oMath>
      <w:r>
        <w:t xml:space="preserve"> </w:t>
      </w:r>
      <w:r>
        <w:t xml:space="preserve">SD. All genes (THEV-infected) are statistically differentially expressed relative to their time-matched mock-infected counterparts based on Student’s t-test and Mann-Whitney U test.</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144"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Raw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Trimmed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Uniquely Mapped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Non-uniquely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GC</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Content (%)</w:t>
            </w:r>
          </w:p>
        </w:tc>
      </w:tr>
      <w:tr>
        <w:trPr>
          <w:cantSplit/>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144"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144"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144"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w:t>
            </w:r>
          </w:p>
        </w:tc>
      </w:tr>
      <w:tr>
        <w:trPr>
          <w:cantSplit/>
          <w:trHeight w:val="144"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144"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w:t>
            </w:r>
          </w:p>
        </w:tc>
      </w:tr>
      <w:tr>
        <w:trPr>
          <w:cantSplit/>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r>
      <w:tr>
        <w:trPr>
          <w:cantSplit/>
          <w:trHeight w:val="144"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w:t>
            </w:r>
          </w:p>
        </w:tc>
      </w:tr>
      <w:tr>
        <w:trPr>
          <w:cantSplit/>
          <w:trHeight w:val="144"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360" w:hRule="auto"/>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
            </w:r>
            <w:r>
              <w:rPr>
                <w:rFonts w:ascii="DejaVu Sans" w:hAnsi="DejaVu Sans" w:eastAsia="DejaVu Sans" w:cs="DejaVu Sans"/>
                <w:i w:val="false"/>
                <w:b w:val="false"/>
                <w:u w:val="none"/>
                <w:vertAlign w:val="superscript"/>
                <w:sz w:val="16"/>
                <w:szCs w:val="16"/>
                <w:color w:val="000000"/>
              </w:rPr>
              <w:t xml:space="preserve">M</w:t>
            </w:r>
            <w:r>
              <w:rPr>
                <w:rFonts w:ascii="DejaVu Sans" w:hAnsi="DejaVu Sans" w:eastAsia="DejaVu Sans" w:cs="DejaVu Sans"/>
                <w:i w:val="false"/>
                <w:b w:val="false"/>
                <w:u w:val="none"/>
                <w:sz w:val="16"/>
                <w:szCs w:val="16"/>
                <w:color w:val="000000"/>
              </w:rPr>
              <w:t xml:space="preserve">All values for number of reads are in millions</w:t>
            </w:r>
            <w:r>
              <w:rPr>
                <w:rFonts w:ascii="DejaVu Sans" w:hAnsi="DejaVu Sans" w:eastAsia="DejaVu Sans" w:cs="DejaVu Sans"/>
                <w:i w:val="false"/>
                <w:b w:val="false"/>
                <w:u w:val="none"/>
                <w:sz w:val="16"/>
                <w:szCs w:val="16"/>
                <w:color w:val="000000"/>
              </w:rPr>
              <w:t xml:space="preserve">; </w:t>
            </w:r>
            <w:r>
              <w:rPr>
                <w:rFonts w:ascii="DejaVu Sans" w:hAnsi="DejaVu Sans" w:eastAsia="DejaVu Sans" w:cs="DejaVu Sans"/>
                <w:i w:val="false"/>
                <w:b w:val="false"/>
                <w:u w:val="none"/>
                <w:vertAlign w:val="superscript"/>
                <w:sz w:val="16"/>
                <w:szCs w:val="16"/>
                <w:color w:val="000000"/>
              </w:rPr>
              <w:t xml:space="preserve">Inf</w:t>
            </w:r>
            <w:r>
              <w:rPr>
                <w:rFonts w:ascii="DejaVu Sans" w:hAnsi="DejaVu Sans" w:eastAsia="DejaVu Sans" w:cs="DejaVu Sans"/>
                <w:i w:val="false"/>
                <w:b w:val="false"/>
                <w:u w:val="none"/>
                <w:sz w:val="16"/>
                <w:szCs w:val="16"/>
                <w:color w:val="000000"/>
              </w:rPr>
              <w:t xml:space="preserve">These are infected samples indicated by the letter 'I' and 'S' in sample names</w:t>
            </w:r>
            <w:r>
              <w:rPr>
                <w:rFonts w:ascii="DejaVu Sans" w:hAnsi="DejaVu Sans" w:eastAsia="DejaVu Sans" w:cs="DejaVu Sans"/>
                <w:i w:val="false"/>
                <w:b w:val="false"/>
                <w:u w:val="none"/>
                <w:sz w:val="16"/>
                <w:szCs w:val="16"/>
                <w:color w:val="000000"/>
              </w:rPr>
              <w:t xml:space="preserve">; </w:t>
            </w:r>
            <w:r>
              <w:rPr>
                <w:rFonts w:ascii="DejaVu Sans" w:hAnsi="DejaVu Sans" w:eastAsia="DejaVu Sans" w:cs="DejaVu Sans"/>
                <w:i w:val="false"/>
                <w:b w:val="false"/>
                <w:u w:val="none"/>
                <w:vertAlign w:val="superscript"/>
                <w:sz w:val="16"/>
                <w:szCs w:val="16"/>
                <w:color w:val="000000"/>
              </w:rPr>
              <w:t xml:space="preserve">Mk</w:t>
            </w:r>
            <w:r>
              <w:rPr>
                <w:rFonts w:ascii="DejaVu Sans" w:hAnsi="DejaVu Sans" w:eastAsia="DejaVu Sans" w:cs="DejaVu Sans"/>
                <w:i w:val="false"/>
                <w:b w:val="false"/>
                <w:u w:val="none"/>
                <w:sz w:val="16"/>
                <w:szCs w:val="16"/>
                <w:color w:val="000000"/>
              </w:rPr>
              <w:t xml:space="preserve">These are mock-infected samples indicated by the letters 'U' and 'N' in sample names</w:t>
            </w:r>
            <w:r>
              <w:rPr>
                <w:rFonts w:ascii="DejaVu Sans" w:hAnsi="DejaVu Sans" w:eastAsia="DejaVu Sans" w:cs="DejaVu Sans"/>
                <w:i w:val="false"/>
                <w:b w:val="false"/>
                <w:u w:val="none"/>
                <w:sz w:val="16"/>
                <w:szCs w:val="16"/>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6.09e-07</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8.19e-04</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4.43e-03</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1.74e-02</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4.63e-02</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3.16e-03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4.34e-04</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4.21e-04</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8.44e-03</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2.92e-02</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1.98e-02</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7.48e-04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8.47e-03</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7.41e-03</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1.53e-02</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5.94e-04</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1.48e-03</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3.40e-02</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1.94e-03</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7.41e-03</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7.79e-03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5.47e-03</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3.56e-05</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6.45e-03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9.09e-04</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3.93e-04</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4.54e-04</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1.90e-07</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1.03e-03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9.46e-05</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1.90e-07</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2.25e-03</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7.20e-04</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4.29e-04</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3.11e-03</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3.93e-04</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1.09e-02</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1.11e-06</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1.11e-06</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1.96e-04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3.75e-05</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3.75e-05</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9.34e-04</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1.29e-03</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6.45e-03</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4.34e-04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1.58e-03</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1.08e-04</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4.43e-03</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4.99e-08</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8.44e-03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3.56e-05</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9.07e-07</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7.41e-03</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7.59e-03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4.74e-02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4.65e-02</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2.18e-02</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2.56e-08</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4.21e-04</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1.06e-04</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9.05e-07</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6.08e-09</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4.74e-02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2.89e-02</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1.02e-05</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6.77e-05</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4.97e-02</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3.49e-03</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2.54e-03</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7.98e-03</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5.91e-03</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7.59e-03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4.16e-03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1.58e-05</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3.75e-05</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1.83e-03</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3.18e-02</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9.41e-03</w:t>
            </w:r>
          </w:p>
        </w:tc>
      </w:tr>
      <w:tr>
        <w:trPr>
          <w:cantSplit/>
          <w:trHeight w:val="360"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3.49e-05</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9.58e-03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1.10e-02</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7.06e-17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6.96e-10</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3.53e-07</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8.23e-20</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1.08e-16</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7.52e-16</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7.52e-16</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4.91e-05</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6.06e-05</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1.33e-13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2.49e-14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4.91e-05</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3.53e-07</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r>
      <w:tr>
        <w:trPr>
          <w:cantSplit/>
          <w:trHeight w:val="360"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4.03e-02</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4.02e-04</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8.60e-11</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1.38e-02</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1.96e-04</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4.95e-03</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5.57e-05</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1.83e-02</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8.52e-08</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4.27e-02</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5.57e-05</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6.59e-03</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6.05e-05</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8.96e-05</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1.26e-03</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1.86e-05</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1.95e-07</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7.26e-09</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2.22e-02</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6.72e-04</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3.18e-14</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3.64e-02</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2.28e-14</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8.34e-13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8.32e-03</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4.64e-22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4.16e-03</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2.39e-05</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6.25e-24</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6.65e-26</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1.35e-04</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2.15e-06</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1.17e-10</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3.83e-02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3.04e-57</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3.10e-02</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1.16e-04</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4.05e-50</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2.26e-02</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5.57e-14</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9.53e-05</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3.42e-45</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3.50e-07</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2.81e-09</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5.95e-06</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3.37e-04</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1.45e-03</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6.51e-04</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7.21e-17</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5.49e-07</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3.30e-02</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4.61e-70</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4.07e-05</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2.09e-05</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2.22e-04</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8.24e-63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6.20e-45</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3.04e-02</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1.21e-05</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1.88e-08</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4.15e-07</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8.09e-05</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9.00e-47</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5.49e-07</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4.86e-02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6.14e-05</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1.97e-05</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2.10e-02</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4.39e-02</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1.66e-02</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3.06e-04</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5.99e-05</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1.38e-23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1.57e-39</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2.25e-30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9.74e-45</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7.60e-05</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5.99e-05</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9.79e-05</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2.80e-04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4.85e-04</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1.41e-05</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2.73e-07</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2.28e-04</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3.69e-32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2.81e-14</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1.17e-09</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8.24e-03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1.30e-44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6.76e-10</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2.20e-02</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2.39e-11</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4.94e-04</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3.24e-17</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1.35e-16</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2.81e-09</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1.17e-09</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9.28e-04</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2.09e-05</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4.00e-27</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1.61e-28</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2.42e-05</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1.18e-06</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4.39e-02</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4.77e-02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6.83e-04</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1.16e-04</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3.76e-04</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4.43e-06</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9.23e-04</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1.71e-47</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8.23e-04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5.12e-05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8.49e-07</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8.55e-03</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7.72e-04</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9.32e-06</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8.01e-20</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2.14e-16</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6.51e-11</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2.32e-39</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8.46e-04</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3.49e-05</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4.28e-02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7.08e-55</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360"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1.61e-11</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1.30e-03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4.48e-04</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2.38e-07</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9.10e-22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4.82e-28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1.85e-29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3.41e-52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1.62e-23</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8.59e-03</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1.98e-06</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2.20e-06</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6.05e-10</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2.65e-36</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2.45e-34</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1.15e-41</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1.03e-33</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1.48e-31</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3.51e-12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3.51e-12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5.04e-03</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9.69e-13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8.01e-10</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9.42e-20</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8.94e-04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5.82e-08</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2.97e-28</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1.14e-34</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1.90e-04</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4.84e-37</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2.43e-02</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3.05e-03</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2.38e-17</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8.60e-42</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3.47e-12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4.75e-26</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5.82e-08</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4.21e-37</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8.81e-17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8.53e-03</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4.23e-12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6.67e-51</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2.31e-04</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6.98e-26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1.27e-05</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2.33e-04</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5.00e-40</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1.05e-02</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1.51e-04</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6.59e-03</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3.33e-03</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7.13e-79</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8.18e-62</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9.07e-64</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3.13e-02</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7.47e-03</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3.59e-26</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1.78e-15</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6.08e-04</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8.28e-05</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4.98e-03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9.58e-03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1.03e-06</w:t>
            </w:r>
          </w:p>
        </w:tc>
      </w:tr>
      <w:tr>
        <w:trPr>
          <w:cantSplit/>
          <w:trHeight w:val="360"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4.94e-03</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1.11e-04</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7.91e-03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1.08e-43</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3.41e-07</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2.07e-02</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1.17e-02</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4.94e-03</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1.87e-03</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2.65e-03</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2.05e-05</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3.26e-02</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1.36e-21</w:t>
            </w:r>
          </w:p>
        </w:tc>
      </w:tr>
      <w:tr>
        <w:trPr>
          <w:cantSplit/>
          <w:trHeight w:val="360"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2.05e-17</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4.18e-03</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2.16e-03</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3.33e-02</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2.99e-04</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1.17e-02</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2.23e-03</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8.21e-11</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1.65e-02</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1.61e-03</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3.73e-03</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7.89e-09</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3.82e-02</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5.28e-59</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8.75e-19</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7.78e-03</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1.83e-08</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2.21e-05</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8.60e-10</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3.61e-08</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4.96e-08</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1.77e-05</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3.23e-04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3.58e-09</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1.02e-03</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3.99e-02</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1.35e-05</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1.34e-04</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1.87e-05</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3.72e-06</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1.34e-03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2.70e-02</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9.39e-08</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2.78e-06</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7.96e-03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8.79e-03</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5.17e-05</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3.78e-03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6.74e-06</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8.90e-03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8.14e-06</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2.31e-03</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1.77e-03</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9.94e-07</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2.34e-02</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4.03e-02</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5.00e-07</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4.06e-05</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1.22e-10</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2.68e-10</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1.89e-10</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3.12e-03</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2.99e-03</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2.65e-02</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5.68e-04</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2.79e-03</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1.70e-04</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9.56e-03</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4.08e-02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6.55e-03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1.01e-06</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1.64e-10</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4.49e-05</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9.82e-03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4.67e-02</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1.77e-05</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1.77e-05</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2.53e-03</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3.22e-02</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3.34e-03</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2.09e-02</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4.24e-04</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9.52e-14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6.24e-05</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4.97e-02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2.36e-06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3.87e-03</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4.32e-02</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4.39e-02</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3.55e-02</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1.04e-10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5.68e-04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2.60e-02</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1.04e-10</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5.84e-04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3.47e-02</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6.55e-03</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5.57e-05</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5.48e-06</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7.93e-03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3.36e-02</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8.57e-04</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2.03e-03</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2.70e-02</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2.85e-03</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3.58e-04</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3.83e-03</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6.35e-05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3.08e-03</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1.41e-03</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6.74e-03</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1.81e-03</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1.06e-02</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6.61e-04</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3.12e-03</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6.60e-08</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8.20e-04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1.44e-07</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3.27e-04</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9.39e-08</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4.52e-02</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8.14e-06</w:t>
            </w:r>
          </w:p>
        </w:tc>
      </w:tr>
      <w:tr>
        <w:trPr>
          <w:cantSplit/>
          <w:trHeight w:val="360"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6.39e-03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4.83e-06</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1.13e-05</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1.37e-11</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4.36e-03</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6.20e-27</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5.29e-07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9.07e-05</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4.32e-10</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1.99e-20</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8.54e-12</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1.17e-07</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9.98e-08</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3.79e-05</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4.17e-04</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5.44e-20</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3.83e-25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2.20e-16</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5.31e-08</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1.01e-06</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2.58e-08</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3.79e-08</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1.47e-06</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2.43e-03</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4.43e-22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4.35e-07</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2.90e-07</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1.08e-06</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9.33e-14</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1.57e-19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1.94e-09</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6.02e-05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4.13e-02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2.23e-02</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9.21e-07</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2.95e-03</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2.52e-09</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3.62e-06</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9.55e-06</w:t>
            </w:r>
          </w:p>
        </w:tc>
      </w:tr>
      <w:tr>
        <w:trPr>
          <w:cantSplit/>
          <w:trHeight w:val="360"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7.45e-03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2.10e-09</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2.02e-07</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9.76e-04</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4.61e-08</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3.51e-02</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3.23e-02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2.49e-04</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4.27e-06</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1.40e-11</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1.12e-07</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2.37e-11</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3.19e-03</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5.27e-08</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9.38e-08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8.52e-07</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4.84e-02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9.12e-04</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4.31e-07</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1.03e-12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1.31e-04</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9.80e-11</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7.30e-17</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1.38e-07</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4.48e-08</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6.23e-33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6.39e-05</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5.63e-19</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1.51e-16</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9.83e-05</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7.55e-31</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8.36e-07</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5.62e-11</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8.36e-04</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3.54e-06</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2.12e-32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1.42e-10</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2.46e-16</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2.81e-07</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4.41e-05</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2.36e-08</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1.02e-06</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2.36e-20</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7.93e-06</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3.17e-02</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1.03e-12</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5.23e-11</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3.37e-03</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7.85e-03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1.51e-04</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1.04e-39</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1.49e-12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9.33e-03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5.47e-35</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4.46e-02</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3.53e-29</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4.50e-02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8.58e-04</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8.57e-04</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3.14e-36</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2.13e-04</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2.94e-11</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3.37e-03</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2.78e-03</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1.42e-03</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5.25e-16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9.49e-13</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1.43e-03</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1.10e-02</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6.05e-03</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9.53e-03</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1.65e-06</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1.22e-02</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6.47e-07</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2.42e-08</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3.92e-25</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6.72e-12</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2.83e-02</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3.62e-32</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2.86e-05</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4.90e-02</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3.63e-05</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5.03e-07</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1.11e-05</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8.36e-07</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1.45e-35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4.46e-17</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2.57e-14</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6.92e-05</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1.58e-02</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5.01e-32</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6.60e-10</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6.53e-05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3.95e-07</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1.03e-12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8.95e-13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1.19e-10</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5.98e-14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2.63e-05</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3.66e-03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3.71e-05</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3.25e-02</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3.50e-02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2.68e-05</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2.78e-03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2.06e-07</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8.76e-05</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5.99e-06</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6.75e-03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2.42e-02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4.09e-02</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5.17e-12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5.63e-19</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2.75e-02</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1.00e-03</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1.07e-05</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2.81e-02</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5.34e-04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5.00e-03</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4.64e-05</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2.61e-05</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3.07e-05</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9.60e-08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5.23e-11</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4.56e-03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7.02e-06</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6.68e-05</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5.27e-08</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5.03e-07</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5.83e-04</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3.59e-65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8.57e-04</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1.59e-05</w:t>
            </w:r>
          </w:p>
        </w:tc>
      </w:tr>
      <w:tr>
        <w:trPr>
          <w:cantSplit/>
          <w:trHeight w:val="360"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2.88e-02</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3.72e-03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5.33e-04</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1.31e-10</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5.33e-04</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1.18e-03</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6.00e-08</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2.56e-14</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7.34e-07</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9.12e-03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1.29e-06</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3.03e-04</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7.97e-28</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3.27e-30</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4.02e-29</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4.32e-52</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1.85e-22</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9.12e-05</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2.36e-05</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3.24e-02</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4.75e-10</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8.08e-52</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4.52e-26</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4.71e-35</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1.05e-42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3.97e-27</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4.68e-03</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1.01e-04</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3.76e-26</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9.54e-25</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3.97e-27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4.41e-04</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3.18e-08</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2.55e-12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4.42e-13</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4.32e-08</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2.73e-16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4.00e-06</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2.21e-02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8.40e-06</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6.18e-36</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4.58e-02</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2.54e-35</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6.28e-19</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7.62e-07</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1.62e-10</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1.02e-12</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2.14e-17</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9.69e-06</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8.40e-06</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9.05e-39</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2.99e-09</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1.16e-11</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3.97e-27</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4.39e-06</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8.41e-03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5.43e-04</w:t>
            </w:r>
          </w:p>
        </w:tc>
      </w:tr>
      <w:tr>
        <w:trPr>
          <w:cantSplit/>
          <w:trHeight w:val="360"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3.03e-04</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5.76e-32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5.94e-06</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3.99e-02</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6.27e-04</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3.03e-04</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1.01e-04</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9.06e-03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5.05e-54</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1.92e-53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4.42e-59</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5.33e-04</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3.74e-26</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4.67e-06</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1.52e-05</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1.12e-03</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2.72e-03</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1.15e-05</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3.76e-02</w:t>
            </w:r>
          </w:p>
        </w:tc>
      </w:tr>
      <w:tr>
        <w:trPr>
          <w:cantSplit/>
          <w:trHeight w:val="360"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5.51e-04</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2.33e-02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6.82e-26</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5.57e-07</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2.37e-03</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1.40e-03</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7.53e-07</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8.40e-06</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1.73e-03</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8.80e-03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5.59e-04</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6.96e-07</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5.57e-07</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2.32e-03</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2.94e-13</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9.04e-03</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9.27e-12</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3.56e-04</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1.38e-02</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1.42e-02</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1.60e-02</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2.45e-02</w:t>
            </w:r>
          </w:p>
        </w:tc>
      </w:tr>
      <w:tr>
        <w:trPr>
          <w:cantSplit/>
          <w:trHeight w:val="360"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3.02e-11</w:t>
            </w:r>
          </w:p>
        </w:tc>
      </w:tr>
      <w:tr>
        <w:trPr>
          <w:cantSplit/>
          <w:trHeight w:val="360"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r>
      <w:tr>
        <w:trPr>
          <w:cantSplit/>
          <w:trHeight w:val="360"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1.45e-55</w:t>
            </w:r>
          </w:p>
        </w:tc>
      </w:tr>
      <w:tr>
        <w:trPr>
          <w:cantSplit/>
          <w:trHeight w:val="360"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1.73e-15</w:t>
            </w:r>
          </w:p>
        </w:tc>
      </w:tr>
      <w:tr>
        <w:trPr>
          <w:cantSplit/>
          <w:trHeight w:val="360"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4.38e-02</w:t>
            </w:r>
          </w:p>
        </w:tc>
      </w:tr>
      <w:tr>
        <w:trPr>
          <w:cantSplit/>
          <w:trHeight w:val="360"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2.61e-07</w:t>
            </w:r>
          </w:p>
        </w:tc>
      </w:tr>
      <w:tr>
        <w:trPr>
          <w:cantSplit/>
          <w:trHeight w:val="360"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1.74e-04</w:t>
            </w:r>
          </w:p>
        </w:tc>
      </w:tr>
      <w:tr>
        <w:trPr>
          <w:cantSplit/>
          <w:trHeight w:val="360"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1.15e-08</w:t>
            </w:r>
          </w:p>
        </w:tc>
      </w:tr>
      <w:tr>
        <w:trPr>
          <w:cantSplit/>
          <w:trHeight w:val="360"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5.88e-07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w:t>
            </w:r>
            <w:r>
              <w:rPr>
                <w:rFonts w:ascii="DejaVu Sans" w:hAnsi="DejaVu Sans" w:eastAsia="DejaVu Sans" w:cs="DejaVu Sans"/>
                <w:i w:val="false"/>
                <w:b w:val="true"/>
                <w:u w:val="none"/>
                <w:sz w:val="16"/>
                <w:szCs w:val="16"/>
                <w:color w:val="000000"/>
              </w:rPr>
              <w:br/>
            </w:r>
            <w:r>
              <w:rPr>
                <w:rFonts w:ascii="DejaVu Sans" w:hAnsi="DejaVu Sans" w:eastAsia="DejaVu Sans" w:cs="DejaVu Sans"/>
                <w:i w:val="false"/>
                <w:b w:val="true"/>
                <w:u w:val="none"/>
                <w:sz w:val="16"/>
                <w:szCs w:val="16"/>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3.19e-02</w:t>
            </w:r>
          </w:p>
        </w:tc>
      </w:tr>
    </w:tbl>
    <w:p>
      <w:r>
        <w:br w:type="page"/>
      </w:r>
    </w:p>
    <w:bookmarkEnd w:id="52"/>
    <w:bookmarkEnd w:id="53"/>
    <w:bookmarkStart w:id="54" w:name="discussion"/>
    <w:p>
      <w:pPr>
        <w:pStyle w:val="Heading2"/>
      </w:pPr>
      <w:r>
        <w:t xml:space="preserve">4. Discussion</w:t>
      </w:r>
    </w:p>
    <w:p>
      <w:pPr>
        <w:pStyle w:val="FirstParagraph"/>
      </w:pPr>
      <w:r>
        <w:t xml:space="preserve">THEV has a worldwide distribution, wreaking economic havoc on affected poultry farms, particularly due to its immunosuppressive trait allowing secondary opportunistic infections to devastate turkey populations</w:t>
      </w:r>
      <w:r>
        <w:t xml:space="preserve"> </w:t>
      </w:r>
      <w:r>
        <w:t xml:space="preserve">(4, 6)</w:t>
      </w:r>
      <w:r>
        <w:t xml:space="preserve">. HE in turkeys causes more economic losses than any disease caused in other birds like chicken or pheasants</w:t>
      </w:r>
      <w:r>
        <w:t xml:space="preserve"> </w:t>
      </w:r>
      <w:r>
        <w:t xml:space="preserve">(4)</w:t>
      </w:r>
      <w:r>
        <w:t xml:space="preserve">. While the current vaccine strain (VAS) has proven effective at preventing clinical HE in turkey poults, the retention of its immunosuppressive properties leaves some of the issues associated with economic losses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w:t>
      </w:r>
    </w:p>
    <w:p>
      <w:pPr>
        <w:pStyle w:val="BodyText"/>
      </w:pPr>
      <w:r>
        <w:t xml:space="preserve">Only one cell line (MDTC-RP19 also known as RP19) has been found to be capable of supporting THEV replication</w:t>
      </w:r>
      <w:r>
        <w:t xml:space="preserve"> </w:t>
      </w:r>
      <w:r>
        <w:t xml:space="preserve">(39)</w:t>
      </w:r>
      <w:r>
        <w:t xml:space="preserve">. Thus, in this work, we establish the first transcriptomic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w:t>
      </w:r>
      <w:r>
        <w:t xml:space="preserve"> </w:t>
      </w:r>
      <w:r>
        <w:t xml:space="preserve">(40)</w:t>
      </w:r>
      <w:r>
        <w:t xml:space="preserve">, leading to only 12- and 24-hpi providing useful data. In total</w:t>
      </w:r>
      <w:r>
        <w:t xml:space="preserve"> </w:t>
      </w:r>
      <w:r>
        <w:rPr>
          <w:b/>
          <w:bCs/>
        </w:rPr>
        <w:t xml:space="preserve">2,343</w:t>
      </w:r>
      <w:r>
        <w:t xml:space="preserve"> </w:t>
      </w:r>
      <w:r>
        <w:t xml:space="preserve">and</w:t>
      </w:r>
      <w:r>
        <w:t xml:space="preserve"> </w:t>
      </w:r>
      <w:r>
        <w:rPr>
          <w:b/>
          <w:bCs/>
        </w:rPr>
        <w:t xml:space="preserve">3,295</w:t>
      </w:r>
      <w:r>
        <w:t xml:space="preserve"> </w:t>
      </w:r>
      <w:r>
        <w:t xml:space="preserve">DEGs were identified at 12-hpi and 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Being a non-model organism, a significant proportion of the host (</w:t>
      </w:r>
      <w:r>
        <w:rPr>
          <w:i/>
          <w:iCs/>
        </w:rPr>
        <w:t xml:space="preserve">M.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(upregulated), ER stress-induced unfolded protein response (upregulated), cell maintenance processes (downregulated), and cytokine functions (deregulated).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pPr>
        <w:pStyle w:val="BodyText"/>
      </w:pPr>
      <w:r>
        <w:t xml:space="preserve">Apoptosis is a key defense mechanism activated by cells in response to irreversible injury and virus infection to abrogate virus propagation. It is a formidable cellular defense network, non-specific to any virus family and therefore an important problem for any infecting virus to overcome</w:t>
      </w:r>
      <w:r>
        <w:t xml:space="preserve"> </w:t>
      </w:r>
      <w:r>
        <w:t xml:space="preserve">(31–33)</w:t>
      </w:r>
      <w:r>
        <w:t xml:space="preserve">. The adenovirus E1A proteins are strong inducers of apoptosis. They bind host pRb and p300/CBP protein, inducing p53-mediated apoptosis, and can also sensitize infected cells to TNF</w:t>
      </w:r>
      <m:oMath>
        <m:r>
          <m:t>α</m:t>
        </m:r>
      </m:oMath>
      <w:r>
        <w:t xml:space="preserve"> </w:t>
      </w:r>
      <w:r>
        <w:t xml:space="preserve">and TRAIL-induced apoptosis</w:t>
      </w:r>
      <w:r>
        <w:t xml:space="preserve"> </w:t>
      </w:r>
      <w:r>
        <w:t xml:space="preserve">(34, 35)</w:t>
      </w:r>
      <w:r>
        <w:t xml:space="preserve">.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w:t>
      </w:r>
      <w:r>
        <w:t xml:space="preserve"> </w:t>
      </w:r>
      <w:r>
        <w:t xml:space="preserve">(34, 35)</w:t>
      </w:r>
      <w:r>
        <w:t xml:space="preserve">.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w:t>
      </w:r>
      <w:r>
        <w:t xml:space="preserve"> </w:t>
      </w:r>
      <w:r>
        <w:t xml:space="preserve">(34)</w:t>
      </w:r>
      <w:r>
        <w:t xml:space="preserve">. Siadenoviruses including THEV are the smallest adenoviruses and therefore encode the fewest genes</w:t>
      </w:r>
      <w:r>
        <w:t xml:space="preserve"> </w:t>
      </w:r>
      <w:r>
        <w:t xml:space="preserve">(10, 41)</w:t>
      </w:r>
      <w:r>
        <w:t xml:space="preserve">. THEV encodes a mere 34 ORFs with no anti-apoptotic genes characterized</w:t>
      </w:r>
      <w:r>
        <w:t xml:space="preserve"> </w:t>
      </w:r>
      <w:r>
        <w:t xml:space="preserve">(41)</w:t>
      </w:r>
      <w:r>
        <w:t xml:space="preserve">. In agreement with these findings, in our results a strong signal indicative of apoptotic induction was observed. However, like Mastadenovirus infections, a complex relationship between pro and anti-apoptotic genes were observed. Pro-apoptotic genes such as</w:t>
      </w:r>
      <w:r>
        <w:t xml:space="preserve"> </w:t>
      </w:r>
      <w:r>
        <w:rPr>
          <w:i/>
          <w:iCs/>
        </w:rPr>
        <w:t xml:space="preserve">APAF1, BNIP3L, BMF, BAK1, RIPK1, FAS, FADD</w:t>
      </w:r>
      <w:r>
        <w:t xml:space="preserve"> </w:t>
      </w:r>
      <w:r>
        <w:t xml:space="preserve">and</w:t>
      </w:r>
      <w:r>
        <w:t xml:space="preserve"> </w:t>
      </w:r>
      <w:r>
        <w:rPr>
          <w:i/>
          <w:iCs/>
        </w:rPr>
        <w:t xml:space="preserve">ATF</w:t>
      </w:r>
      <w:r>
        <w:t xml:space="preserve"> </w:t>
      </w:r>
      <w:r>
        <w:t xml:space="preserve">were upregulated in concert with the anti-apoptotic genes</w:t>
      </w:r>
      <w:r>
        <w:t xml:space="preserve"> </w:t>
      </w:r>
      <w:r>
        <w:rPr>
          <w:i/>
          <w:iCs/>
        </w:rPr>
        <w:t xml:space="preserve">BCL2, BNIP2, BCL2A1</w:t>
      </w:r>
      <w:r>
        <w:t xml:space="preserve"> </w:t>
      </w:r>
      <w:r>
        <w:t xml:space="preserve">and</w:t>
      </w:r>
      <w:r>
        <w:t xml:space="preserve"> </w:t>
      </w:r>
      <w:r>
        <w:rPr>
          <w:i/>
          <w:iCs/>
        </w:rPr>
        <w:t xml:space="preserve">API5</w:t>
      </w:r>
      <w:r>
        <w:t xml:space="preserve">. We speculate that this complex regulation is predictive of THEV possessing some anti-apoptotic genes but not sufficiently potent to thwart the cellular apoptotic response. It is also possible that using a naturally attenuated strain may account for the apparent balance in pro- and anti-apoptotic signals. Interestingly, pro-apoptotic genes in both intrinsic and extrinsic pathways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w:t>
      </w:r>
    </w:p>
    <w:p>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exported proteins are correctly folded and degradation of unfolded or misfolded proteins</w:t>
      </w:r>
      <w:r>
        <w:t xml:space="preserve"> </w:t>
      </w:r>
      <w:r>
        <w:t xml:space="preserve">(16, 38, 42)</w:t>
      </w:r>
      <w:r>
        <w:t xml:space="preserve">. Disruption of ER homeostasis or ER stress leads to accumulation of incorrect proteins in the ER lumen, triggering the UPR. The UPR restores ER normality by transiently attenuating general protein synthesis, increasing the lumenal folding capacity, and the degradation of misfolded proteins through the ERAD pathway or autophagy</w:t>
      </w:r>
      <w:r>
        <w:t xml:space="preserve"> </w:t>
      </w:r>
      <w:r>
        <w:t xml:space="preserve">(16, 38, 42, 43)</w:t>
      </w:r>
      <w:r>
        <w:t xml:space="preserve">. However, if incorrect lumenal protein overload persists, the prolonged UPR will induce apoptosis known as ER stress-associated programmed cell death</w:t>
      </w:r>
      <w:r>
        <w:t xml:space="preserve"> </w:t>
      </w:r>
      <w:r>
        <w:t xml:space="preserve">(42, 43)</w:t>
      </w:r>
      <w:r>
        <w:t xml:space="preserve">. Many DNA and RNA viruses are reported to induce ER stress and UPR pathways during infection</w:t>
      </w:r>
      <w:r>
        <w:t xml:space="preserve"> </w:t>
      </w:r>
      <w:r>
        <w:t xml:space="preserve">(16)</w:t>
      </w:r>
      <w:r>
        <w:t xml:space="preserve">. In our results,</w:t>
      </w:r>
      <w:r>
        <w:t xml:space="preserve"> </w:t>
      </w:r>
      <w:r>
        <w:rPr>
          <w:i/>
          <w:iCs/>
        </w:rPr>
        <w:t xml:space="preserve">ATF4</w:t>
      </w:r>
      <w:r>
        <w:t xml:space="preserve"> </w:t>
      </w:r>
      <w:r>
        <w:t xml:space="preserve">and PKR-like ER protein kinase (</w:t>
      </w:r>
      <w:r>
        <w:rPr>
          <w:i/>
          <w:iCs/>
        </w:rPr>
        <w:t xml:space="preserve">PERK</w:t>
      </w:r>
      <w:r>
        <w:t xml:space="preserve">), key proteins in the</w:t>
      </w:r>
      <w:r>
        <w:t xml:space="preserve"> </w:t>
      </w:r>
      <w:r>
        <w:rPr>
          <w:i/>
          <w:iCs/>
        </w:rPr>
        <w:t xml:space="preserve">PERK</w:t>
      </w:r>
      <w:r>
        <w:t xml:space="preserve"> </w:t>
      </w:r>
      <w:r>
        <w:t xml:space="preserve">branch of the UPR pathway were upregulated. A myriad of ERAD pathway proteins (e.g.,</w:t>
      </w:r>
      <w:r>
        <w:t xml:space="preserve"> </w:t>
      </w:r>
      <w:r>
        <w:rPr>
          <w:i/>
          <w:iCs/>
        </w:rPr>
        <w:t xml:space="preserve">VCP, UFD1, EDEM1, EDEM3, CUL1, UBQLN1</w:t>
      </w:r>
      <w:r>
        <w:t xml:space="preserve">), ubiquitination system proteins (e.g.,</w:t>
      </w:r>
      <w:r>
        <w:t xml:space="preserve"> </w:t>
      </w:r>
      <w:r>
        <w:rPr>
          <w:i/>
          <w:iCs/>
        </w:rPr>
        <w:t xml:space="preserve">UBE2J2, UBE2E3, UBE2Z, UBE3A, UBE3B</w:t>
      </w:r>
      <w:r>
        <w:t xml:space="preserve">), and heat shock family of chaperone proteins (e.g.,</w:t>
      </w:r>
      <w:r>
        <w:t xml:space="preserve"> </w:t>
      </w:r>
      <w:r>
        <w:rPr>
          <w:i/>
          <w:iCs/>
        </w:rPr>
        <w:t xml:space="preserve">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supported by our results. As noted above, a prolonged UPR activation leads to ER stress-associated programmed cell death via genes such</w:t>
      </w:r>
      <w:r>
        <w:t xml:space="preserve"> </w:t>
      </w:r>
      <w:r>
        <w:rPr>
          <w:i/>
          <w:iCs/>
        </w:rPr>
        <w:t xml:space="preserve">ATF4</w:t>
      </w:r>
      <w:r>
        <w:t xml:space="preserve"> </w:t>
      </w:r>
      <w:r>
        <w:t xml:space="preserve">(42, 43)</w:t>
      </w:r>
      <w:r>
        <w:t xml:space="preserve">. Thus, we suggest that the ER stress response likely plays a crucial role in THEV-induced IMS. Nonetheless, the mechanisms underlying the regulation of the UPR pathways by THEV remain to be clearly unraveled. Also, whether and how the ER stress response affects THEV infection and pathogenicity should be studied. Unsurprisingly, protein degradation was more evident at 24-hpi than at 12-hpi, reflecting the suggested two phases of UPR – Phase 1 allows the unfolded proteins time to refold without degradation and Phase 2 degrades any proteins which have failed to fold</w:t>
      </w:r>
      <w:r>
        <w:t xml:space="preserve"> </w:t>
      </w:r>
      <w:r>
        <w:t xml:space="preserve">(43)</w:t>
      </w:r>
      <w:r>
        <w:t xml:space="preserve">.</w:t>
      </w:r>
    </w:p>
    <w:p>
      <w:pPr>
        <w:pStyle w:val="BodyText"/>
      </w:pPr>
      <w:r>
        <w:t xml:space="preserve">In the proposed model of THEV immunopathogenesis by Rautenschlein</w:t>
      </w:r>
      <w:r>
        <w:t xml:space="preserve"> </w:t>
      </w:r>
      <w:r>
        <w:rPr>
          <w:i/>
          <w:iCs/>
        </w:rPr>
        <w:t xml:space="preserve">et al</w:t>
      </w:r>
      <w:r>
        <w:t xml:space="preserve"> </w:t>
      </w:r>
      <w:r>
        <w:t xml:space="preserve">(</w:t>
      </w:r>
      <w:r>
        <w:rPr>
          <w:b/>
          <w:bCs/>
        </w:rPr>
        <w:t xml:space="preserve">Figure 1</w:t>
      </w:r>
      <w:r>
        <w:t xml:space="preserve">), while THEV directly induced cell death in infected cells, cytokines are responsible for extending cell death to bystander splenocytes</w:t>
      </w:r>
      <w:r>
        <w:t xml:space="preserve"> </w:t>
      </w:r>
      <w:r>
        <w:t xml:space="preserve">(8)</w:t>
      </w:r>
      <w:r>
        <w:t xml:space="preserve">. However, the primary cytokines (IFN-</w:t>
      </w:r>
      <m:oMath>
        <m:r>
          <m:t>α</m:t>
        </m:r>
      </m:oMath>
      <w:r>
        <w:t xml:space="preserve">, IFN-</w:t>
      </w:r>
      <m:oMath>
        <m:r>
          <m:t>β</m:t>
        </m:r>
      </m:oMath>
      <w:r>
        <w:t xml:space="preserve">, IFN-</w:t>
      </w:r>
      <m:oMath>
        <m:r>
          <m:t>γ</m:t>
        </m:r>
      </m:oMath>
      <w:r>
        <w:t xml:space="preserve"> </w:t>
      </w:r>
      <w:r>
        <w:t xml:space="preserve">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solely from B-cell culture data as in this study. From the model, T-cells and macrophages are the principal producers of the effector cytokines; thus, there is agreement with our data that B-cells alone would poorly recapitulate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w:t>
      </w:r>
      <w:r>
        <w:t xml:space="preserve"> </w:t>
      </w:r>
      <w:r>
        <w:t xml:space="preserve">(8)</w:t>
      </w:r>
      <w:r>
        <w:t xml:space="preserve">. While some of the upregulated cytokines and receptors in our results are positive apoptosis regulators (</w:t>
      </w:r>
      <w:r>
        <w:rPr>
          <w:i/>
          <w:iCs/>
        </w:rPr>
        <w:t xml:space="preserve">TNFRSF8, TRAF7</w:t>
      </w:r>
      <w:r>
        <w:t xml:space="preserve">), most of the cytokines are either anti-apoptotic (</w:t>
      </w:r>
      <w:r>
        <w:rPr>
          <w:i/>
          <w:iCs/>
        </w:rPr>
        <w:t xml:space="preserve">TNFRSF1B, TRAF2</w:t>
      </w:r>
      <w:r>
        <w:t xml:space="preserve">), boost host antiviral defense (</w:t>
      </w:r>
      <w:r>
        <w:rPr>
          <w:i/>
          <w:iCs/>
        </w:rPr>
        <w:t xml:space="preserve">IL18, TNFSF4, PKR, TRAFD1, IFIH1</w:t>
      </w:r>
      <w:r>
        <w:t xml:space="preserve">), or suppress cytokine signaling (</w:t>
      </w:r>
      <w:r>
        <w:rPr>
          <w:i/>
          <w:iCs/>
        </w:rPr>
        <w:t xml:space="preserve">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w:t>
      </w:r>
      <w:r>
        <w:t xml:space="preserve"> </w:t>
      </w:r>
      <w:r>
        <w:rPr>
          <w:i/>
          <w:iCs/>
        </w:rPr>
        <w:t xml:space="preserve">et al</w:t>
      </w:r>
      <w:r>
        <w:t xml:space="preserve"> </w:t>
      </w:r>
      <w:r>
        <w:t xml:space="preserve">are important questions that can be addressed with future transcriptomic studies in splenocytes.</w:t>
      </w:r>
    </w:p>
    <w:p>
      <w:pPr>
        <w:pStyle w:val="BodyText"/>
      </w:pPr>
      <w:r>
        <w:t xml:space="preserve">By convention, the Mastadenovirus replication cycle is divided into two phases, an early and a late phase, separated by the onset of viral DNA replication</w:t>
      </w:r>
      <w:r>
        <w:t xml:space="preserve"> </w:t>
      </w:r>
      <w:r>
        <w:t xml:space="preserve">(34, 35)</w:t>
      </w:r>
      <w:r>
        <w:t xml:space="preserve">. Based on DNA microarray analysis, adenovirus type 2 (Ad2) infection has been divided into four stages. The first period is from 0 to 12-hpi during which changes in cellular gene expression are likely to be triggered by the viral entry process. Most of the deregulated genes have functions linked to inhibition of cell growth. Therefore, growth suppression is most likely the first response of the host cell to the incoming virus</w:t>
      </w:r>
      <w:r>
        <w:t xml:space="preserve"> </w:t>
      </w:r>
      <w:r>
        <w:t xml:space="preserve">(34)</w:t>
      </w:r>
      <w:r>
        <w:t xml:space="preserve">. The second period covers the time from 12 to 24-hpi and follows activation of the immediate early E1A gene, which forcibly transition cell cycle to S phase</w:t>
      </w:r>
      <w:r>
        <w:t xml:space="preserve"> </w:t>
      </w:r>
      <w:r>
        <w:t xml:space="preserve">(34)</w:t>
      </w:r>
      <w:r>
        <w:t xml:space="preserve">. While the temporal changes of host gene expression for a THEV infection have not been characterized in prior studies, our data suggest that during the first 24-hpi, cell growth was suppressed. Cell maintenance processes involving nucleic acid and proteins were downregulated according to our data. Protein synthesis-related processes including ribosome biogenesis, rRNA processing, ribosome assembly, protein folding, translational initiation, protein maturation, and others were heavily affected. Additionally, DNA and RNA synthesis, maintenance, and repair such as nucleotide biosynthesis and metabolism, double strand break repair, and DNA excision repair were also repressed. As severe DNA damage leads to DNA damage-dependent apoptosis</w:t>
      </w:r>
      <w:r>
        <w:t xml:space="preserve"> </w:t>
      </w:r>
      <w:r>
        <w:t xml:space="preserve">(36)</w:t>
      </w:r>
      <w:r>
        <w:t xml:space="preserve"> </w:t>
      </w:r>
      <w:r>
        <w:t xml:space="preserve">and repression of RNA and protein synthesis is also strongly associated with apoptosis</w:t>
      </w:r>
      <w:r>
        <w:t xml:space="preserve"> </w:t>
      </w:r>
      <w:r>
        <w:t xml:space="preserve">(37)</w:t>
      </w:r>
      <w:r>
        <w:t xml:space="preserve">, these inhibitions may also play a role in THEV-induced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w:t>
      </w:r>
    </w:p>
    <w:bookmarkEnd w:id="54"/>
    <w:bookmarkStart w:id="65" w:name="conclusions"/>
    <w:p>
      <w:pPr>
        <w:pStyle w:val="Heading2"/>
      </w:pPr>
      <w:r>
        <w:t xml:space="preserve">5. Conclusions</w:t>
      </w:r>
    </w:p>
    <w:p>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at 12-hpi and</w:t>
      </w:r>
      <w:r>
        <w:t xml:space="preserve"> </w:t>
      </w:r>
      <w:r>
        <w:rPr>
          <w:b/>
          <w:bCs/>
        </w:rPr>
        <w:t xml:space="preserve">1,512</w:t>
      </w:r>
      <w:r>
        <w:t xml:space="preserve"> </w:t>
      </w:r>
      <w:r>
        <w:t xml:space="preserve">upregulated genes and</w:t>
      </w:r>
      <w:r>
        <w:t xml:space="preserve"> </w:t>
      </w:r>
      <w:r>
        <w:rPr>
          <w:b/>
          <w:bCs/>
        </w:rPr>
        <w:t xml:space="preserve">1,783</w:t>
      </w:r>
      <w:r>
        <w:t xml:space="preserve"> </w:t>
      </w:r>
      <w:r>
        <w:t xml:space="preserve">downregulated genes at 24-hpi. Our data suggest that several biological processes and pathways including apoptosis, immune response, ER response to stress, ubiquitin-dependent proteolysis,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advance the understanding of non-human adenoviral infection and pathogenesis, which may eventually inform the development of medical countermeasures for disease prevention and treatment.</w:t>
      </w:r>
    </w:p>
    <w:p>
      <w:r>
        <w:br w:type="page"/>
      </w:r>
    </w:p>
    <w:p>
      <w:pPr>
        <w:pStyle w:val="BodyText"/>
      </w:pPr>
      <w:r>
        <w:rPr>
          <w:b/>
          <w:bCs/>
        </w:rPr>
        <w:t xml:space="preserve">Supplementary Materials</w:t>
      </w:r>
    </w:p>
    <w:p>
      <w:pPr>
        <w:pStyle w:val="CaptionedFigure"/>
      </w:pPr>
      <w:r>
        <w:drawing>
          <wp:inline>
            <wp:extent cx="5349240" cy="5020219"/>
            <wp:effectExtent b="0" l="0" r="0" t="0"/>
            <wp:docPr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title="" id="13" name="Picture"/>
            <a:graphic>
              <a:graphicData uri="http://schemas.openxmlformats.org/drawingml/2006/picture">
                <pic:pic>
                  <pic:nvPicPr>
                    <pic:cNvPr descr="qpcr_validation/qpcr_gel.png" id="14" name="Picture"/>
                    <pic:cNvPicPr>
                      <a:picLocks noChangeArrowheads="1" noChangeAspect="1"/>
                    </pic:cNvPicPr>
                  </pic:nvPicPr>
                  <pic:blipFill>
                    <a:blip r:embed="rId55"/>
                    <a:stretch>
                      <a:fillRect/>
                    </a:stretch>
                  </pic:blipFill>
                  <pic:spPr bwMode="auto">
                    <a:xfrm>
                      <a:off x="0" y="0"/>
                      <a:ext cx="5349240" cy="5020219"/>
                    </a:xfrm>
                    <a:prstGeom prst="rect">
                      <a:avLst/>
                    </a:prstGeom>
                    <a:noFill/>
                    <a:ln w="9525">
                      <a:noFill/>
                      <a:headEnd/>
                      <a:tailEnd/>
                    </a:ln>
                  </pic:spPr>
                </pic:pic>
              </a:graphicData>
            </a:graphic>
          </wp:inline>
        </w:drawing>
      </w:r>
    </w:p>
    <w:p>
      <w:pPr>
        <w:pStyle w:val="ImageCaption"/>
      </w:pPr>
      <w:r>
        <w:rPr>
          <w:b/>
          <w:bCs/>
        </w:rPr>
        <w:t xml:space="preserve">Figure S1: Gel Electrophoresis of RT-qPCR validation reactions.</w:t>
      </w:r>
      <w:r>
        <w:t xml:space="preserve"> </w:t>
      </w:r>
      <w:r>
        <w:t xml:space="preserve">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w:t>
      </w:r>
      <w:r>
        <w:t xml:space="preserve"> </w:t>
      </w:r>
      <w:r>
        <w:t xml:space="preserve">“mock”</w:t>
      </w:r>
      <w:r>
        <w:t xml:space="preserve"> </w:t>
      </w:r>
      <w:r>
        <w:t xml:space="preserve">and infected samples are shown in the bottom row prefixed with</w:t>
      </w:r>
      <w:r>
        <w:t xml:space="preserve"> </w:t>
      </w:r>
      <w:r>
        <w:t xml:space="preserve">“inf”</w:t>
      </w:r>
      <w:r>
        <w:t xml:space="preserve">.</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GCTGCGCAAATACCCGAGGTC</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GCCAGACACAGCATCTGTCACAC</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CGGAGACTCTTCTATGGGAATGCTGG</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CTGCTGATGCCGCTGTATGTGG</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CTGGACTACAGGTGTTGATAGGAGACG</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GCACAGAGGAACCTTCGGAGAG</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GTCACGAGGCTTCTGCTGTGAC</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CTCTCAGACTGCAGCTACTGAGC</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GAPDH</w:t>
            </w:r>
            <w:r>
              <w:rPr>
                <w:rFonts w:ascii="DejaVu Sans" w:hAnsi="DejaVu Sans" w:eastAsia="DejaVu Sans" w:cs="DejaVu Sans"/>
                <w:i w:val="true"/>
                <w:b w:val="false"/>
                <w:u w:val="none"/>
                <w:vertAlign w:val="superscript"/>
                <w:sz w:val="16"/>
                <w:szCs w:val="16"/>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CACTATCTTCCAGGAGCGTGACC</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GAGCTGACGAGGTTGAACTTGCTG</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GCACAGTAGAAGTGGAGAATCTGAGTG</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GGCACCGTCAGGCTGAAGTC</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GGCATCGTACTTCTTAGCCAGCTTC</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CAGCTGAGCTTTCTTGCCACAG</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GTGGTCTGCTTCAACATCTGTGGTC</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GATCTATGAGCTTCGGGTAATGGAGAC</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6"/>
                <w:szCs w:val="16"/>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CAAGGCCATAGGAGTGAAGCCTC</w:t>
            </w:r>
            <w:r>
              <w:rPr>
                <w:rFonts w:ascii="DejaVu Sans" w:hAnsi="DejaVu Sans" w:eastAsia="DejaVu Sans" w:cs="DejaVu Sans"/>
                <w:i w:val="false"/>
                <w:b w:val="false"/>
                <w:u w:val="none"/>
                <w:vertAlign w:val="superscript"/>
                <w:sz w:val="16"/>
                <w:szCs w:val="16"/>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HK</w:t>
            </w:r>
            <w:r>
              <w:rPr>
                <w:rFonts w:ascii="DejaVu Sans" w:hAnsi="DejaVu Sans" w:eastAsia="DejaVu Sans" w:cs="DejaVu Sans"/>
                <w:i w:val="false"/>
                <w:b w:val="false"/>
                <w:u w:val="none"/>
                <w:sz w:val="16"/>
                <w:szCs w:val="16"/>
                <w:color w:val="000000"/>
              </w:rPr>
              <w:t xml:space="preserve">Control (house-keeping) gene</w:t>
            </w:r>
            <w:r>
              <w:rPr>
                <w:rFonts w:ascii="DejaVu Sans" w:hAnsi="DejaVu Sans" w:eastAsia="DejaVu Sans" w:cs="DejaVu Sans"/>
                <w:i w:val="false"/>
                <w:b w:val="false"/>
                <w:u w:val="none"/>
                <w:vertAlign w:val="superscript"/>
                <w:sz w:val="16"/>
                <w:szCs w:val="16"/>
                <w:color w:val="000000"/>
              </w:rPr>
              <w:t xml:space="preserve">ExJ</w:t>
            </w:r>
            <w:r>
              <w:rPr>
                <w:rFonts w:ascii="DejaVu Sans" w:hAnsi="DejaVu Sans" w:eastAsia="DejaVu Sans" w:cs="DejaVu Sans"/>
                <w:i w:val="false"/>
                <w:b w:val="false"/>
                <w:u w:val="none"/>
                <w:sz w:val="16"/>
                <w:szCs w:val="16"/>
                <w:color w:val="000000"/>
              </w:rPr>
              <w:t xml:space="preserve">Primer spans exon-exon junction</w:t>
            </w:r>
            <w:r>
              <w:rPr>
                <w:rFonts w:ascii="DejaVu Sans" w:hAnsi="DejaVu Sans" w:eastAsia="DejaVu Sans" w:cs="DejaVu Sans"/>
                <w:i w:val="false"/>
                <w:b w:val="false"/>
                <w:u w:val="none"/>
                <w:sz w:val="16"/>
                <w:szCs w:val="16"/>
                <w:color w:val="000000"/>
              </w:rPr>
              <w:t xml:space="preserve">; </w:t>
            </w:r>
          </w:p>
        </w:tc>
      </w:tr>
    </w:tbl>
    <w:p>
      <w:pPr>
        <w:pStyle w:val="BodyText"/>
      </w:pPr>
      <w:r>
        <w:rPr>
          <w:b/>
          <w:bCs/>
        </w:rPr>
        <w:t xml:space="preserve">Gene symbols:</w:t>
      </w:r>
      <w:r>
        <w:t xml:space="preserve"> </w:t>
      </w:r>
      <w:r>
        <w:t xml:space="preserve">glyceraldehyde-3-phosphate dehydrogenase (</w:t>
      </w:r>
      <w:r>
        <w:rPr>
          <w:i/>
          <w:iCs/>
        </w:rPr>
        <w:t xml:space="preserve">GAPDH</w:t>
      </w:r>
      <w:r>
        <w:t xml:space="preserve">); apoptotic peptidase activating factor 1 (</w:t>
      </w:r>
      <w:r>
        <w:rPr>
          <w:i/>
          <w:iCs/>
        </w:rPr>
        <w:t xml:space="preserve">APAF1</w:t>
      </w:r>
      <w:r>
        <w:t xml:space="preserve">); Bcl2 modifying factor (</w:t>
      </w:r>
      <w:r>
        <w:rPr>
          <w:i/>
          <w:iCs/>
        </w:rPr>
        <w:t xml:space="preserve">BMF</w:t>
      </w:r>
      <w:r>
        <w:t xml:space="preserve">); FAS-associated protein with death domain (</w:t>
      </w:r>
      <w:r>
        <w:rPr>
          <w:i/>
          <w:iCs/>
        </w:rPr>
        <w:t xml:space="preserve">FADD</w:t>
      </w:r>
      <w:r>
        <w:t xml:space="preserve">); programmed cell death 4 (</w:t>
      </w:r>
      <w:r>
        <w:rPr>
          <w:i/>
          <w:iCs/>
        </w:rPr>
        <w:t xml:space="preserve">PDCD4</w:t>
      </w:r>
      <w:r>
        <w:t xml:space="preserve">); MAP kinase activating death domain (</w:t>
      </w:r>
      <w:r>
        <w:rPr>
          <w:i/>
          <w:iCs/>
        </w:rPr>
        <w:t xml:space="preserve">MADD</w:t>
      </w:r>
      <w:r>
        <w:t xml:space="preserve">); valosin containing protein (</w:t>
      </w:r>
      <w:r>
        <w:rPr>
          <w:i/>
          <w:iCs/>
        </w:rPr>
        <w:t xml:space="preserve">VCP/p97</w:t>
      </w:r>
      <w:r>
        <w:t xml:space="preserve">); Ubiquitin Recognition Factor in ER Associated Degradation 1 (</w:t>
      </w:r>
      <w:r>
        <w:rPr>
          <w:i/>
          <w:iCs/>
        </w:rPr>
        <w:t xml:space="preserve">UFD1</w:t>
      </w:r>
      <w:r>
        <w:t xml:space="preserve">); ER degradation enhancing alpha-mannosidase like protein 1 (</w:t>
      </w:r>
      <w:r>
        <w:rPr>
          <w:i/>
          <w:iCs/>
        </w:rPr>
        <w:t xml:space="preserve">EDEM1</w:t>
      </w:r>
      <w:r>
        <w:t xml:space="preserve">); eukaryotic translation initiation factor 3 subunit D and M (</w:t>
      </w:r>
      <w:r>
        <w:rPr>
          <w:i/>
          <w:iCs/>
        </w:rPr>
        <w:t xml:space="preserve">EIF3D</w:t>
      </w:r>
      <w:r>
        <w:t xml:space="preserve"> </w:t>
      </w:r>
      <w:r>
        <w:t xml:space="preserve">and,</w:t>
      </w:r>
      <w:r>
        <w:t xml:space="preserve"> </w:t>
      </w:r>
      <w:r>
        <w:rPr>
          <w:i/>
          <w:iCs/>
        </w:rPr>
        <w:t xml:space="preserve">EIF3M</w:t>
      </w:r>
      <w:r>
        <w:t xml:space="preserve">); ribosomal protein L8 and L10a (</w:t>
      </w:r>
      <w:r>
        <w:rPr>
          <w:i/>
          <w:iCs/>
        </w:rPr>
        <w:t xml:space="preserve">RPL8</w:t>
      </w:r>
      <w:r>
        <w:t xml:space="preserve">, and</w:t>
      </w:r>
      <w:r>
        <w:t xml:space="preserve"> </w:t>
      </w:r>
      <w:r>
        <w:rPr>
          <w:i/>
          <w:iCs/>
        </w:rPr>
        <w:t xml:space="preserve">RPL10A</w:t>
      </w:r>
      <w:r>
        <w:t xml:space="preserv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2.63e-02</w:t>
            </w:r>
          </w:p>
        </w:tc>
      </w:tr>
    </w:tbl>
    <w:p>
      <w:r>
        <w:br w:type="page"/>
      </w:r>
    </w:p>
    <w:bookmarkStart w:id="58" w:name="author-contributions"/>
    <w:p>
      <w:pPr>
        <w:pStyle w:val="Heading3"/>
      </w:pPr>
      <w:r>
        <w:t xml:space="preserve">Author Contributions</w:t>
      </w:r>
    </w:p>
    <w:p>
      <w:pPr>
        <w:pStyle w:val="FirstParagraph"/>
      </w:pPr>
      <w:r>
        <w:t xml:space="preserve">Conceptualization, Abraham Quaye, Brian D. Poole, Brett E. Pickett, Bradford K. Berges, and Joel S. Griffitts; methodology, Abraham Quaye; software, Abraham Quaye; validation, Abraham Quaye; formal analysis, Abraham Quaye, Brett E. Pickett; investigation, Abraham Quaye; resources, Brian D. Poole; data curation, Abraham Quaye; writing—original draft preparation, Abraham Quaye; writing—review and editing, Abraham Quaye, Brian D. Poole, Brett E. Pickett, Bradford K. Berges, and Joel S. Griffitts; visualization, Abraham Quaye;</w:t>
      </w:r>
      <w:r>
        <w:t xml:space="preserve"> </w:t>
      </w:r>
      <w:r>
        <w:t xml:space="preserve">supervision, Brian D. Poole; project administration, Brian D. Poole; funding acquisition, Brian D. Poole. All authors have read and agreed to the published version of the manuscript.</w:t>
      </w:r>
    </w:p>
    <w:bookmarkEnd w:id="58"/>
    <w:bookmarkStart w:id="59" w:name="funding"/>
    <w:p>
      <w:pPr>
        <w:pStyle w:val="Heading3"/>
      </w:pPr>
      <w:r>
        <w:t xml:space="preserve">Funding</w:t>
      </w:r>
    </w:p>
    <w:p>
      <w:pPr>
        <w:pStyle w:val="FirstParagraph"/>
      </w:pPr>
      <w:r>
        <w:t xml:space="preserve">This research received no external funding.</w:t>
      </w:r>
    </w:p>
    <w:bookmarkEnd w:id="59"/>
    <w:bookmarkStart w:id="61" w:name="data-availability"/>
    <w:p>
      <w:pPr>
        <w:pStyle w:val="Heading3"/>
      </w:pPr>
      <w:r>
        <w:t xml:space="preserve">Data Availability</w:t>
      </w:r>
    </w:p>
    <w:p>
      <w:pPr>
        <w:pStyle w:val="FirstParagraph"/>
      </w:pPr>
      <w:r>
        <w:t xml:space="preserve">The raw sequencing read data (FastQ), gene expression counts, and total DEGs identified at 12- and 24-hpi have been deposited at the NCBI Gene Expression Omnibus (</w:t>
      </w:r>
      <w:hyperlink r:id="rId33">
        <w:r>
          <w:rPr>
            <w:rStyle w:val="Hyperlink"/>
          </w:rPr>
          <w:t xml:space="preserve">http://www.ncbi.nlm.nih.gov/geo</w:t>
        </w:r>
      </w:hyperlink>
      <w:r>
        <w:t xml:space="preserve">) under accession number GSE286211.</w:t>
      </w:r>
    </w:p>
    <w:p>
      <w:pPr>
        <w:pStyle w:val="BodyText"/>
      </w:pPr>
      <w:r>
        <w:t xml:space="preserve">All the code/scripts in the entire analysis pipeline are available on GitHub (</w:t>
      </w:r>
      <w:hyperlink r:id="rId60">
        <w:r>
          <w:rPr>
            <w:rStyle w:val="Hyperlink"/>
          </w:rPr>
          <w:t xml:space="preserve">https://github.com/Abraham-Quaye/host_rna_seq</w:t>
        </w:r>
      </w:hyperlink>
      <w:r>
        <w:t xml:space="preserve">)</w:t>
      </w:r>
    </w:p>
    <w:bookmarkEnd w:id="61"/>
    <w:bookmarkStart w:id="62" w:name="acknowledgements"/>
    <w:p>
      <w:pPr>
        <w:pStyle w:val="Heading3"/>
      </w:pPr>
      <w:r>
        <w:t xml:space="preserve">Acknowledgements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p>
    <w:bookmarkEnd w:id="62"/>
    <w:bookmarkStart w:id="63" w:name="conflicts-of-interest"/>
    <w:p>
      <w:pPr>
        <w:pStyle w:val="Heading3"/>
      </w:pPr>
      <w:r>
        <w:t xml:space="preserve">Conflicts of Interest</w:t>
      </w:r>
    </w:p>
    <w:p>
      <w:pPr>
        <w:pStyle w:val="FirstParagraph"/>
      </w:pPr>
      <w:r>
        <w:t xml:space="preserve">The authors declare no conflicts of interest.</w:t>
      </w:r>
      <w:r>
        <w:t xml:space="preserve"> </w:t>
      </w:r>
    </w:p>
    <w:bookmarkEnd w:id="63"/>
    <w:bookmarkStart w:id="64" w:name="abbreviations"/>
    <w:p>
      <w:pPr>
        <w:pStyle w:val="Heading3"/>
      </w:pPr>
      <w:r>
        <w:t xml:space="preserve">Abbreviations</w:t>
      </w:r>
    </w:p>
    <w:p>
      <w:pPr>
        <w:pStyle w:val="FirstParagraph"/>
      </w:pPr>
      <w:r>
        <w:t xml:space="preserve">The following are abbreviations used in this manuscript:</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DAVID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Database for Annotation, Visualization and Integrated Discovery</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DEG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Differentially Expressed Gene</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ERAD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Reticulum-associated Degradation</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Gene Ontology</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Immunosuppression</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KEGG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Kyoto Encyclopedia of Genes and Genomes</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RNA-seq</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 sequencing</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RT-qPCR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Reverse Transcriptase Quantitative Polymerase Chain Reaction</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UPR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Unfolded Protein Response</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VAS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Virginia Avirulent Strain</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bl>
    <w:p>
      <w:r>
        <w:br w:type="page"/>
      </w:r>
    </w:p>
    <w:bookmarkEnd w:id="64"/>
    <w:bookmarkEnd w:id="65"/>
    <w:bookmarkStart w:id="149" w:name="references"/>
    <w:p>
      <w:pPr>
        <w:pStyle w:val="Heading2"/>
      </w:pPr>
      <w:r>
        <w:t xml:space="preserve">REFERENCES</w:t>
      </w:r>
    </w:p>
    <w:p>
      <w:pPr>
        <w:pStyle w:val="FirstParagraph"/>
      </w:pPr>
    </w:p>
    <w:bookmarkStart w:id="148" w:name="refs"/>
    <w:bookmarkStart w:id="67" w:name="ref-Harrach2008"/>
    <w:p>
      <w:pPr>
        <w:pStyle w:val="Bibliography"/>
      </w:pPr>
      <w:r>
        <w:t xml:space="preserve">1.</w:t>
      </w:r>
      <w:r>
        <w:t xml:space="preserve"> </w:t>
      </w:r>
      <w:r>
        <w:t xml:space="preserve">	</w:t>
      </w:r>
      <w:r>
        <w:t xml:space="preserve">Harrach B. 2008.</w:t>
      </w:r>
      <w:r>
        <w:t xml:space="preserve"> </w:t>
      </w:r>
      <w:hyperlink r:id="rId66">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67"/>
    <w:bookmarkStart w:id="69" w:name="ref-Davison2003"/>
    <w:p>
      <w:pPr>
        <w:pStyle w:val="Bibliography"/>
      </w:pPr>
      <w:r>
        <w:t xml:space="preserve">2.</w:t>
      </w:r>
      <w:r>
        <w:t xml:space="preserve"> </w:t>
      </w:r>
      <w:r>
        <w:t xml:space="preserve">	</w:t>
      </w:r>
      <w:r>
        <w:t xml:space="preserve">Davison A, Benko M, Harrach B. 2003.</w:t>
      </w:r>
      <w:r>
        <w:t xml:space="preserve"> </w:t>
      </w:r>
      <w:hyperlink r:id="rId68">
        <w:r>
          <w:rPr>
            <w:rStyle w:val="Hyperlink"/>
          </w:rPr>
          <w:t xml:space="preserve">Genetic content and evolution of adenoviruses</w:t>
        </w:r>
      </w:hyperlink>
      <w:r>
        <w:t xml:space="preserve">. The Journal of general virology 84:2895–908.</w:t>
      </w:r>
    </w:p>
    <w:bookmarkEnd w:id="69"/>
    <w:bookmarkStart w:id="70" w:name="ref-Gross1967"/>
    <w:p>
      <w:pPr>
        <w:pStyle w:val="Bibliography"/>
      </w:pPr>
      <w:r>
        <w:t xml:space="preserve">3.</w:t>
      </w:r>
      <w:r>
        <w:t xml:space="preserve"> </w:t>
      </w:r>
      <w:r>
        <w:t xml:space="preserve">	</w:t>
      </w:r>
      <w:r>
        <w:t xml:space="preserve">Gross WB, Moore WE. 1967. Hemorrhagic enteritis of turkeys. Avian Dis 11:296–307.</w:t>
      </w:r>
    </w:p>
    <w:bookmarkEnd w:id="70"/>
    <w:bookmarkStart w:id="72" w:name="ref-Beach2006"/>
    <w:p>
      <w:pPr>
        <w:pStyle w:val="Bibliography"/>
      </w:pPr>
      <w:r>
        <w:t xml:space="preserve">4.</w:t>
      </w:r>
      <w:r>
        <w:t xml:space="preserve"> </w:t>
      </w:r>
      <w:r>
        <w:t xml:space="preserve">	</w:t>
      </w:r>
      <w:r>
        <w:t xml:space="preserve">Beach NM. 2006.</w:t>
      </w:r>
      <w:r>
        <w:t xml:space="preserve"> </w:t>
      </w:r>
      <w:hyperlink r:id="rId71">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72"/>
    <w:bookmarkStart w:id="74"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73">
        <w:r>
          <w:rPr>
            <w:rStyle w:val="Hyperlink"/>
          </w:rPr>
          <w:t xml:space="preserve">Haemorrhagic enteritis of turkeys – current knowledge</w:t>
        </w:r>
      </w:hyperlink>
      <w:r>
        <w:t xml:space="preserve">. Veterinary Quarterly 37:31–42.</w:t>
      </w:r>
    </w:p>
    <w:bookmarkEnd w:id="74"/>
    <w:bookmarkStart w:id="76"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75">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76"/>
    <w:bookmarkStart w:id="77"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77"/>
    <w:bookmarkStart w:id="79" w:name="ref-Rautenschlein2000"/>
    <w:p>
      <w:pPr>
        <w:pStyle w:val="Bibliography"/>
      </w:pPr>
      <w:r>
        <w:t xml:space="preserve">8.</w:t>
      </w:r>
      <w:r>
        <w:t xml:space="preserve"> </w:t>
      </w:r>
      <w:r>
        <w:t xml:space="preserve">	</w:t>
      </w:r>
      <w:r>
        <w:t xml:space="preserve">Rautenschlein S, Sharma JM. 2000.</w:t>
      </w:r>
      <w:r>
        <w:t xml:space="preserve"> </w:t>
      </w:r>
      <w:hyperlink r:id="rId78">
        <w:r>
          <w:rPr>
            <w:rStyle w:val="Hyperlink"/>
          </w:rPr>
          <w:t xml:space="preserve">Immunopathogenesis of haemorrhagic enteritis virus (HEV) in turkeys</w:t>
        </w:r>
      </w:hyperlink>
      <w:r>
        <w:t xml:space="preserve">. Dev Comp Immunol 24:237–46.</w:t>
      </w:r>
    </w:p>
    <w:bookmarkEnd w:id="79"/>
    <w:bookmarkStart w:id="80"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80"/>
    <w:bookmarkStart w:id="82"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81">
        <w:r>
          <w:rPr>
            <w:rStyle w:val="Hyperlink"/>
          </w:rPr>
          <w:t xml:space="preserve">Persistent infection of turkeys with an avirulent strain of turkey hemorrhagic enteritis virus</w:t>
        </w:r>
      </w:hyperlink>
      <w:r>
        <w:t xml:space="preserve">. Avian Diseases 53:370–375.</w:t>
      </w:r>
    </w:p>
    <w:bookmarkEnd w:id="82"/>
    <w:bookmarkStart w:id="84" w:name="ref-Rautenschlein2000b"/>
    <w:p>
      <w:pPr>
        <w:pStyle w:val="Bibliography"/>
      </w:pPr>
      <w:r>
        <w:t xml:space="preserve">11.</w:t>
      </w:r>
      <w:r>
        <w:t xml:space="preserve"> </w:t>
      </w:r>
      <w:r>
        <w:t xml:space="preserve">	</w:t>
      </w:r>
      <w:r>
        <w:t xml:space="preserve">Rautenschlein S, Suresh M, Sharma JM. 2000.</w:t>
      </w:r>
      <w:r>
        <w:t xml:space="preserve"> </w:t>
      </w:r>
      <w:hyperlink r:id="rId83">
        <w:r>
          <w:rPr>
            <w:rStyle w:val="Hyperlink"/>
          </w:rPr>
          <w:t xml:space="preserve">Pathogenic avian adenovirus type II induces apoptosis in turkey spleen cells</w:t>
        </w:r>
      </w:hyperlink>
      <w:r>
        <w:t xml:space="preserve">. Archives of Virology 145:1671–1683.</w:t>
      </w:r>
    </w:p>
    <w:bookmarkEnd w:id="84"/>
    <w:bookmarkStart w:id="86" w:name="ref-Pandey2023"/>
    <w:p>
      <w:pPr>
        <w:pStyle w:val="Bibliography"/>
      </w:pPr>
      <w:r>
        <w:t xml:space="preserve">12.</w:t>
      </w:r>
      <w:r>
        <w:t xml:space="preserve"> </w:t>
      </w:r>
      <w:r>
        <w:t xml:space="preserve">	</w:t>
      </w:r>
      <w:r>
        <w:t xml:space="preserve">Pandey D, Onkara Perumal P. 2023.</w:t>
      </w:r>
      <w:r>
        <w:t xml:space="preserve"> </w:t>
      </w:r>
      <w:hyperlink r:id="rId85">
        <w:r>
          <w:rPr>
            <w:rStyle w:val="Hyperlink"/>
          </w:rPr>
          <w:t xml:space="preserve">A scoping review on deep learning for next-generation RNA-seq. Data analysis</w:t>
        </w:r>
      </w:hyperlink>
      <w:r>
        <w:t xml:space="preserve">. Functional &amp;amp; Integrative Genomics 23.</w:t>
      </w:r>
    </w:p>
    <w:bookmarkEnd w:id="86"/>
    <w:bookmarkStart w:id="88" w:name="ref-Wang2019"/>
    <w:p>
      <w:pPr>
        <w:pStyle w:val="Bibliography"/>
      </w:pPr>
      <w:r>
        <w:t xml:space="preserve">13.</w:t>
      </w:r>
      <w:r>
        <w:t xml:space="preserve"> </w:t>
      </w:r>
      <w:r>
        <w:t xml:space="preserve">	</w:t>
      </w:r>
      <w:r>
        <w:t xml:space="preserve">Wang B, Kumar V, Olson A, Ware D. 2019.</w:t>
      </w:r>
      <w:r>
        <w:t xml:space="preserve"> </w:t>
      </w:r>
      <w:hyperlink r:id="rId87">
        <w:r>
          <w:rPr>
            <w:rStyle w:val="Hyperlink"/>
          </w:rPr>
          <w:t xml:space="preserve">Reviving the transcriptome studies: An insight into the emergence of single-molecule transcriptome sequencing</w:t>
        </w:r>
      </w:hyperlink>
      <w:r>
        <w:t xml:space="preserve">. Frontiers in Genetics 10.</w:t>
      </w:r>
    </w:p>
    <w:bookmarkEnd w:id="88"/>
    <w:bookmarkStart w:id="90" w:name="ref-Choi2016"/>
    <w:p>
      <w:pPr>
        <w:pStyle w:val="Bibliography"/>
      </w:pPr>
      <w:r>
        <w:t xml:space="preserve">14.</w:t>
      </w:r>
      <w:r>
        <w:t xml:space="preserve"> </w:t>
      </w:r>
      <w:r>
        <w:t xml:space="preserve">	</w:t>
      </w:r>
      <w:r>
        <w:t xml:space="preserve">Choi SC. 2016.</w:t>
      </w:r>
      <w:r>
        <w:t xml:space="preserve"> </w:t>
      </w:r>
      <w:hyperlink r:id="rId89">
        <w:r>
          <w:rPr>
            <w:rStyle w:val="Hyperlink"/>
          </w:rPr>
          <w:t xml:space="preserve">On the study of microbial transcriptomes using second- and third-generation sequencing technologies</w:t>
        </w:r>
      </w:hyperlink>
      <w:r>
        <w:t xml:space="preserve">. Journal of Microbiology 54:527–536.</w:t>
      </w:r>
    </w:p>
    <w:bookmarkEnd w:id="90"/>
    <w:bookmarkStart w:id="92" w:name="ref-Satam2023"/>
    <w:p>
      <w:pPr>
        <w:pStyle w:val="Bibliography"/>
      </w:pPr>
      <w:r>
        <w:t xml:space="preserve">15.</w:t>
      </w:r>
      <w:r>
        <w:t xml:space="preserve"> </w:t>
      </w:r>
      <w:r>
        <w:t xml:space="preserve">	</w:t>
      </w:r>
      <w:r>
        <w:t xml:space="preserve">Satam H, Joshi K, Mangrolia U, Waghoo S, Zaidi G, Rawool S, Thakare RP, Banday S, Mishra AK, Das G, Malonia SK. 2023.</w:t>
      </w:r>
      <w:r>
        <w:t xml:space="preserve"> </w:t>
      </w:r>
      <w:hyperlink r:id="rId91">
        <w:r>
          <w:rPr>
            <w:rStyle w:val="Hyperlink"/>
          </w:rPr>
          <w:t xml:space="preserve">Next-generation sequencing technology: Current trends and advancements</w:t>
        </w:r>
      </w:hyperlink>
      <w:r>
        <w:t xml:space="preserve">. Biology 12:997.</w:t>
      </w:r>
    </w:p>
    <w:bookmarkEnd w:id="92"/>
    <w:bookmarkStart w:id="94" w:name="ref-Mo2023"/>
    <w:p>
      <w:pPr>
        <w:pStyle w:val="Bibliography"/>
      </w:pPr>
      <w:r>
        <w:t xml:space="preserve">16.</w:t>
      </w:r>
      <w:r>
        <w:t xml:space="preserve"> </w:t>
      </w:r>
      <w:r>
        <w:t xml:space="preserve">	</w:t>
      </w:r>
      <w:r>
        <w:t xml:space="preserve">Mo Q, Feng K, Dai S, Wu Q, Zhang Z, Ali A, Deng F, Wang H, Ning Y-J. 2023.</w:t>
      </w:r>
      <w:r>
        <w:t xml:space="preserve"> </w:t>
      </w:r>
      <w:hyperlink r:id="rId93">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94"/>
    <w:bookmarkStart w:id="96"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95">
        <w:r>
          <w:rPr>
            <w:rStyle w:val="Hyperlink"/>
          </w:rPr>
          <w:t xml:space="preserve">Gene ontology: Tool for the unification of biology</w:t>
        </w:r>
      </w:hyperlink>
      <w:r>
        <w:t xml:space="preserve">. Nature Genetics 25:25–29.</w:t>
      </w:r>
    </w:p>
    <w:bookmarkEnd w:id="96"/>
    <w:bookmarkStart w:id="98" w:name="ref-Kanehisa2000"/>
    <w:p>
      <w:pPr>
        <w:pStyle w:val="Bibliography"/>
      </w:pPr>
      <w:r>
        <w:t xml:space="preserve">18.</w:t>
      </w:r>
      <w:r>
        <w:t xml:space="preserve"> </w:t>
      </w:r>
      <w:r>
        <w:t xml:space="preserve">	</w:t>
      </w:r>
      <w:r>
        <w:t xml:space="preserve">Kanehisa M. 2000.</w:t>
      </w:r>
      <w:r>
        <w:t xml:space="preserve"> </w:t>
      </w:r>
      <w:hyperlink r:id="rId97">
        <w:r>
          <w:rPr>
            <w:rStyle w:val="Hyperlink"/>
          </w:rPr>
          <w:t xml:space="preserve">KEGG: Kyoto encyclopedia of genes and genomes</w:t>
        </w:r>
      </w:hyperlink>
      <w:r>
        <w:t xml:space="preserve">. Nucleic Acids Research 28:27–30.</w:t>
      </w:r>
    </w:p>
    <w:bookmarkEnd w:id="98"/>
    <w:bookmarkStart w:id="100" w:name="ref-Mahsoub2017"/>
    <w:p>
      <w:pPr>
        <w:pStyle w:val="Bibliography"/>
      </w:pPr>
      <w:r>
        <w:t xml:space="preserve">19.</w:t>
      </w:r>
      <w:r>
        <w:t xml:space="preserve"> </w:t>
      </w:r>
      <w:r>
        <w:t xml:space="preserve">	</w:t>
      </w:r>
      <w:r>
        <w:t xml:space="preserve">Mahsoub HM, Evans NP, Beach NM, Yuan L, Zimmerman K, Pierson FW. 2017.</w:t>
      </w:r>
      <w:r>
        <w:t xml:space="preserve"> </w:t>
      </w:r>
      <w:hyperlink r:id="rId99">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00"/>
    <w:bookmarkStart w:id="102" w:name="ref-Pertea2016"/>
    <w:p>
      <w:pPr>
        <w:pStyle w:val="Bibliography"/>
      </w:pPr>
      <w:r>
        <w:t xml:space="preserve">20.</w:t>
      </w:r>
      <w:r>
        <w:t xml:space="preserve"> </w:t>
      </w:r>
      <w:r>
        <w:t xml:space="preserve">	</w:t>
      </w:r>
      <w:r>
        <w:t xml:space="preserve">Pertea M, Kim D, Pertea GM, Leek JT, Salzberg SL. 2016.</w:t>
      </w:r>
      <w:r>
        <w:t xml:space="preserve"> </w:t>
      </w:r>
      <w:hyperlink r:id="rId101">
        <w:r>
          <w:rPr>
            <w:rStyle w:val="Hyperlink"/>
          </w:rPr>
          <w:t xml:space="preserve">Transcript-level expression analysis of RNA-seq experiments with HISAT, StringTie and ballgown</w:t>
        </w:r>
      </w:hyperlink>
      <w:r>
        <w:t xml:space="preserve">. Nature Protocols 11:1650–1667.</w:t>
      </w:r>
    </w:p>
    <w:bookmarkEnd w:id="102"/>
    <w:bookmarkStart w:id="104" w:name="ref-Snakemake2021"/>
    <w:p>
      <w:pPr>
        <w:pStyle w:val="Bibliography"/>
      </w:pPr>
      <w:r>
        <w:t xml:space="preserve">21.</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03">
        <w:r>
          <w:rPr>
            <w:rStyle w:val="Hyperlink"/>
          </w:rPr>
          <w:t xml:space="preserve">Sustainable data analysis with snakemake</w:t>
        </w:r>
      </w:hyperlink>
      <w:r>
        <w:t xml:space="preserve">. F1000Research 10:33.</w:t>
      </w:r>
    </w:p>
    <w:bookmarkEnd w:id="104"/>
    <w:bookmarkStart w:id="106" w:name="ref-Martin2011"/>
    <w:p>
      <w:pPr>
        <w:pStyle w:val="Bibliography"/>
      </w:pPr>
      <w:r>
        <w:t xml:space="preserve">22.</w:t>
      </w:r>
      <w:r>
        <w:t xml:space="preserve"> </w:t>
      </w:r>
      <w:r>
        <w:t xml:space="preserve">	</w:t>
      </w:r>
      <w:r>
        <w:t xml:space="preserve">Martin M. 2011.</w:t>
      </w:r>
      <w:r>
        <w:t xml:space="preserve"> </w:t>
      </w:r>
      <w:hyperlink r:id="rId105">
        <w:r>
          <w:rPr>
            <w:rStyle w:val="Hyperlink"/>
          </w:rPr>
          <w:t xml:space="preserve">Cutadapt removes adapter sequences from high-throughput sequencing reads</w:t>
        </w:r>
      </w:hyperlink>
      <w:r>
        <w:t xml:space="preserve">. EMBnetjournal 17:10.</w:t>
      </w:r>
    </w:p>
    <w:bookmarkEnd w:id="106"/>
    <w:bookmarkStart w:id="108" w:name="ref-Deseq2"/>
    <w:p>
      <w:pPr>
        <w:pStyle w:val="Bibliography"/>
      </w:pPr>
      <w:r>
        <w:t xml:space="preserve">23.</w:t>
      </w:r>
      <w:r>
        <w:t xml:space="preserve"> </w:t>
      </w:r>
      <w:r>
        <w:t xml:space="preserve">	</w:t>
      </w:r>
      <w:r>
        <w:t xml:space="preserve">Love MI, Huber W, Anders S. 2014.</w:t>
      </w:r>
      <w:r>
        <w:t xml:space="preserve"> </w:t>
      </w:r>
      <w:hyperlink r:id="rId107">
        <w:r>
          <w:rPr>
            <w:rStyle w:val="Hyperlink"/>
          </w:rPr>
          <w:t xml:space="preserve">Moderated estimation of fold change and dispersion for RNA-seq data with DESeq2</w:t>
        </w:r>
      </w:hyperlink>
      <w:r>
        <w:t xml:space="preserve">. Genome Biology 15:550.</w:t>
      </w:r>
    </w:p>
    <w:bookmarkEnd w:id="108"/>
    <w:bookmarkStart w:id="109" w:name="ref-Gprofiler2"/>
    <w:p>
      <w:pPr>
        <w:pStyle w:val="Bibliography"/>
      </w:pPr>
      <w:r>
        <w:t xml:space="preserve">24.</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109"/>
    <w:bookmarkStart w:id="111" w:name="ref-ggplot2"/>
    <w:p>
      <w:pPr>
        <w:pStyle w:val="Bibliography"/>
      </w:pPr>
      <w:r>
        <w:t xml:space="preserve">25.</w:t>
      </w:r>
      <w:r>
        <w:t xml:space="preserve"> </w:t>
      </w:r>
      <w:r>
        <w:t xml:space="preserve">	</w:t>
      </w:r>
      <w:r>
        <w:t xml:space="preserve">Wickham H. 2016. ggplot2: Elegant graphics for data analysis. Springer-Verlag New York.</w:t>
      </w:r>
      <w:r>
        <w:t xml:space="preserve"> </w:t>
      </w:r>
      <w:hyperlink r:id="rId110">
        <w:r>
          <w:rPr>
            <w:rStyle w:val="Hyperlink"/>
          </w:rPr>
          <w:t xml:space="preserve">https://ggplot2.tidyverse.org</w:t>
        </w:r>
      </w:hyperlink>
      <w:r>
        <w:t xml:space="preserve">.</w:t>
      </w:r>
    </w:p>
    <w:bookmarkEnd w:id="111"/>
    <w:bookmarkStart w:id="113" w:name="ref-pheatmap"/>
    <w:p>
      <w:pPr>
        <w:pStyle w:val="Bibliography"/>
      </w:pPr>
      <w:r>
        <w:t xml:space="preserve">26.</w:t>
      </w:r>
      <w:r>
        <w:t xml:space="preserve"> </w:t>
      </w:r>
      <w:r>
        <w:t xml:space="preserve">	</w:t>
      </w:r>
      <w:r>
        <w:t xml:space="preserve">Kolde R. 2019. Pheatmap: Pretty heatmaps.</w:t>
      </w:r>
      <w:r>
        <w:t xml:space="preserve"> </w:t>
      </w:r>
      <w:hyperlink r:id="rId112">
        <w:r>
          <w:rPr>
            <w:rStyle w:val="Hyperlink"/>
          </w:rPr>
          <w:t xml:space="preserve">https://CRAN.R-project.org/package=pheatmap</w:t>
        </w:r>
      </w:hyperlink>
      <w:r>
        <w:t xml:space="preserve">.</w:t>
      </w:r>
    </w:p>
    <w:bookmarkEnd w:id="113"/>
    <w:bookmarkStart w:id="115" w:name="ref-ggvenn"/>
    <w:p>
      <w:pPr>
        <w:pStyle w:val="Bibliography"/>
      </w:pPr>
      <w:r>
        <w:t xml:space="preserve">27.</w:t>
      </w:r>
      <w:r>
        <w:t xml:space="preserve"> </w:t>
      </w:r>
      <w:r>
        <w:t xml:space="preserve">	</w:t>
      </w:r>
      <w:r>
        <w:t xml:space="preserve">Yan L. 2023. Ggvenn: Draw venn diagram by ’ggplot2’.</w:t>
      </w:r>
      <w:r>
        <w:t xml:space="preserve"> </w:t>
      </w:r>
      <w:hyperlink r:id="rId114">
        <w:r>
          <w:rPr>
            <w:rStyle w:val="Hyperlink"/>
          </w:rPr>
          <w:t xml:space="preserve">https://CRAN.R-project.org/package=ggvenn</w:t>
        </w:r>
      </w:hyperlink>
      <w:r>
        <w:t xml:space="preserve">.</w:t>
      </w:r>
    </w:p>
    <w:bookmarkEnd w:id="115"/>
    <w:bookmarkStart w:id="117" w:name="ref-Livak2001"/>
    <w:p>
      <w:pPr>
        <w:pStyle w:val="Bibliography"/>
      </w:pPr>
      <w:r>
        <w:t xml:space="preserve">28.</w:t>
      </w:r>
      <w:r>
        <w:t xml:space="preserve"> </w:t>
      </w:r>
      <w:r>
        <w:t xml:space="preserve">	</w:t>
      </w:r>
      <w:hyperlink r:id="rId116">
        <w:r>
          <w:rPr>
            <w:rStyle w:val="Hyperlink"/>
          </w:rPr>
          <w:t xml:space="preserve">Livak KJ, Schmittgen TD. 2001.. Methods 25:402–408</w:t>
        </w:r>
      </w:hyperlink>
      <w:r>
        <w:t xml:space="preserve">.</w:t>
      </w:r>
    </w:p>
    <w:bookmarkEnd w:id="117"/>
    <w:bookmarkStart w:id="119" w:name="ref-Sherman2022"/>
    <w:p>
      <w:pPr>
        <w:pStyle w:val="Bibliography"/>
      </w:pPr>
      <w:r>
        <w:t xml:space="preserve">29.</w:t>
      </w:r>
      <w:r>
        <w:t xml:space="preserve"> </w:t>
      </w:r>
      <w:r>
        <w:t xml:space="preserve">	</w:t>
      </w:r>
      <w:r>
        <w:t xml:space="preserve">Sherman BT, Hao M, Qiu J, Jiao X, Baseler MW, Lane HC, Imamichi T, Chang W. 2022.</w:t>
      </w:r>
      <w:r>
        <w:t xml:space="preserve"> </w:t>
      </w:r>
      <w:hyperlink r:id="rId118">
        <w:r>
          <w:rPr>
            <w:rStyle w:val="Hyperlink"/>
          </w:rPr>
          <w:t xml:space="preserve">DAVID: A web server for functional enrichment analysis and functional annotation of gene lists (2021 update)</w:t>
        </w:r>
      </w:hyperlink>
      <w:r>
        <w:t xml:space="preserve">. Nucleic Acids Research 50:W216–W221.</w:t>
      </w:r>
    </w:p>
    <w:bookmarkEnd w:id="119"/>
    <w:bookmarkStart w:id="121" w:name="ref-Saunders1993"/>
    <w:p>
      <w:pPr>
        <w:pStyle w:val="Bibliography"/>
      </w:pPr>
      <w:r>
        <w:t xml:space="preserve">30.</w:t>
      </w:r>
      <w:r>
        <w:t xml:space="preserve"> </w:t>
      </w:r>
      <w:r>
        <w:t xml:space="preserve">	</w:t>
      </w:r>
      <w:r>
        <w:t xml:space="preserve">Saunders GK, Pierson FW, Hurk JV van den. 1993.</w:t>
      </w:r>
      <w:r>
        <w:t xml:space="preserve"> </w:t>
      </w:r>
      <w:hyperlink r:id="rId120">
        <w:r>
          <w:rPr>
            <w:rStyle w:val="Hyperlink"/>
          </w:rPr>
          <w:t xml:space="preserve">Haemorhagic enteritis virus infection in turkeys: A comparison of virulent and avirulent virus infections, and a proposed pathogenesis</w:t>
        </w:r>
      </w:hyperlink>
      <w:r>
        <w:t xml:space="preserve">. Avian Pathology 22:47–58.</w:t>
      </w:r>
    </w:p>
    <w:bookmarkEnd w:id="121"/>
    <w:bookmarkStart w:id="123" w:name="ref-Barber2001"/>
    <w:p>
      <w:pPr>
        <w:pStyle w:val="Bibliography"/>
      </w:pPr>
      <w:r>
        <w:t xml:space="preserve">31.</w:t>
      </w:r>
      <w:r>
        <w:t xml:space="preserve"> </w:t>
      </w:r>
      <w:r>
        <w:t xml:space="preserve">	</w:t>
      </w:r>
      <w:r>
        <w:t xml:space="preserve">Barber GN. 2001.</w:t>
      </w:r>
      <w:r>
        <w:t xml:space="preserve"> </w:t>
      </w:r>
      <w:hyperlink r:id="rId122">
        <w:r>
          <w:rPr>
            <w:rStyle w:val="Hyperlink"/>
          </w:rPr>
          <w:t xml:space="preserve">Host defense, viruses and apoptosis</w:t>
        </w:r>
      </w:hyperlink>
      <w:r>
        <w:t xml:space="preserve">. Cell Death &amp;amp; Differentiation 8:113–126.</w:t>
      </w:r>
    </w:p>
    <w:bookmarkEnd w:id="123"/>
    <w:bookmarkStart w:id="125" w:name="ref-Hardwick1997"/>
    <w:p>
      <w:pPr>
        <w:pStyle w:val="Bibliography"/>
      </w:pPr>
      <w:r>
        <w:t xml:space="preserve">32.</w:t>
      </w:r>
      <w:r>
        <w:t xml:space="preserve"> </w:t>
      </w:r>
      <w:r>
        <w:t xml:space="preserve">	</w:t>
      </w:r>
      <w:r>
        <w:t xml:space="preserve">Hardwick JM. 1997.</w:t>
      </w:r>
      <w:r>
        <w:t xml:space="preserve"> </w:t>
      </w:r>
      <w:hyperlink r:id="rId124">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125"/>
    <w:bookmarkStart w:id="127" w:name="ref-Verburg2022"/>
    <w:p>
      <w:pPr>
        <w:pStyle w:val="Bibliography"/>
      </w:pPr>
      <w:r>
        <w:t xml:space="preserve">33.</w:t>
      </w:r>
      <w:r>
        <w:t xml:space="preserve"> </w:t>
      </w:r>
      <w:r>
        <w:t xml:space="preserve">	</w:t>
      </w:r>
      <w:r>
        <w:t xml:space="preserve">Verburg SG, Lelievre RM, Westerveld MJ, Inkol JM, Sun YL, Workenhe ST. 2022.</w:t>
      </w:r>
      <w:r>
        <w:t xml:space="preserve"> </w:t>
      </w:r>
      <w:hyperlink r:id="rId126">
        <w:r>
          <w:rPr>
            <w:rStyle w:val="Hyperlink"/>
          </w:rPr>
          <w:t xml:space="preserve">Viral-mediated activation and inhibition of programmed cell death</w:t>
        </w:r>
      </w:hyperlink>
      <w:r>
        <w:t xml:space="preserve">. PLOS Pathogens 18:e1010718.</w:t>
      </w:r>
    </w:p>
    <w:bookmarkEnd w:id="127"/>
    <w:bookmarkStart w:id="129" w:name="ref-Zhao2012"/>
    <w:p>
      <w:pPr>
        <w:pStyle w:val="Bibliography"/>
      </w:pPr>
      <w:r>
        <w:t xml:space="preserve">34.</w:t>
      </w:r>
      <w:r>
        <w:t xml:space="preserve"> </w:t>
      </w:r>
      <w:r>
        <w:t xml:space="preserve">	</w:t>
      </w:r>
      <w:r>
        <w:t xml:space="preserve">Zhao H, Dahlö M, Isaksson A, Syvänen A-C, Pettersson U. 2012.</w:t>
      </w:r>
      <w:r>
        <w:t xml:space="preserve"> </w:t>
      </w:r>
      <w:hyperlink r:id="rId128">
        <w:r>
          <w:rPr>
            <w:rStyle w:val="Hyperlink"/>
          </w:rPr>
          <w:t xml:space="preserve">The transcriptome of the adenovirus infected cell</w:t>
        </w:r>
      </w:hyperlink>
      <w:r>
        <w:t xml:space="preserve">. Virology 424:115–128.</w:t>
      </w:r>
    </w:p>
    <w:bookmarkEnd w:id="129"/>
    <w:bookmarkStart w:id="131" w:name="ref-Guimet2016"/>
    <w:p>
      <w:pPr>
        <w:pStyle w:val="Bibliography"/>
      </w:pPr>
      <w:r>
        <w:t xml:space="preserve">35.</w:t>
      </w:r>
      <w:r>
        <w:t xml:space="preserve"> </w:t>
      </w:r>
      <w:r>
        <w:t xml:space="preserve">	</w:t>
      </w:r>
      <w:r>
        <w:t xml:space="preserve">Guimet D, Hearing P. 2016.</w:t>
      </w:r>
      <w:r>
        <w:t xml:space="preserve"> </w:t>
      </w:r>
      <w:hyperlink r:id="rId130">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131"/>
    <w:bookmarkStart w:id="133" w:name="ref-Roos2006"/>
    <w:p>
      <w:pPr>
        <w:pStyle w:val="Bibliography"/>
      </w:pPr>
      <w:r>
        <w:t xml:space="preserve">36.</w:t>
      </w:r>
      <w:r>
        <w:t xml:space="preserve"> </w:t>
      </w:r>
      <w:r>
        <w:t xml:space="preserve">	</w:t>
      </w:r>
      <w:r>
        <w:t xml:space="preserve">Roos WP, Kaina B. 2006.</w:t>
      </w:r>
      <w:r>
        <w:t xml:space="preserve"> </w:t>
      </w:r>
      <w:hyperlink r:id="rId132">
        <w:r>
          <w:rPr>
            <w:rStyle w:val="Hyperlink"/>
          </w:rPr>
          <w:t xml:space="preserve">DNA damage-induced cell death by apoptosis</w:t>
        </w:r>
      </w:hyperlink>
      <w:r>
        <w:t xml:space="preserve">. Trends in Molecular Medicine 12:440–450.</w:t>
      </w:r>
    </w:p>
    <w:bookmarkEnd w:id="133"/>
    <w:bookmarkStart w:id="135" w:name="ref-Martin1993"/>
    <w:p>
      <w:pPr>
        <w:pStyle w:val="Bibliography"/>
      </w:pPr>
      <w:r>
        <w:t xml:space="preserve">37.</w:t>
      </w:r>
      <w:r>
        <w:t xml:space="preserve"> </w:t>
      </w:r>
      <w:r>
        <w:t xml:space="preserve">	</w:t>
      </w:r>
      <w:r>
        <w:t xml:space="preserve">Martin SJ. 1993.</w:t>
      </w:r>
      <w:r>
        <w:t xml:space="preserve"> </w:t>
      </w:r>
      <w:hyperlink r:id="rId134">
        <w:r>
          <w:rPr>
            <w:rStyle w:val="Hyperlink"/>
          </w:rPr>
          <w:t xml:space="preserve">Protein or RNA synthesis inhibition induces apoptosis of mature human CD4+ t cell blasts</w:t>
        </w:r>
      </w:hyperlink>
      <w:r>
        <w:t xml:space="preserve">. Immunology Letters 35:125–134.</w:t>
      </w:r>
    </w:p>
    <w:bookmarkEnd w:id="135"/>
    <w:bookmarkStart w:id="137" w:name="ref-Christianson2022"/>
    <w:p>
      <w:pPr>
        <w:pStyle w:val="Bibliography"/>
      </w:pPr>
      <w:r>
        <w:t xml:space="preserve">38.</w:t>
      </w:r>
      <w:r>
        <w:t xml:space="preserve"> </w:t>
      </w:r>
      <w:r>
        <w:t xml:space="preserve">	</w:t>
      </w:r>
      <w:r>
        <w:t xml:space="preserve">Christianson JC, Carvalho P. 2022.</w:t>
      </w:r>
      <w:r>
        <w:t xml:space="preserve"> </w:t>
      </w:r>
      <w:hyperlink r:id="rId136">
        <w:r>
          <w:rPr>
            <w:rStyle w:val="Hyperlink"/>
          </w:rPr>
          <w:t xml:space="preserve">Order through destruction: How ER‐associated protein degradation contributes to organelle homeostasis</w:t>
        </w:r>
      </w:hyperlink>
      <w:r>
        <w:t xml:space="preserve">. The EMBO Journal 41.</w:t>
      </w:r>
    </w:p>
    <w:bookmarkEnd w:id="137"/>
    <w:bookmarkStart w:id="139" w:name="ref-vandenHurk1990"/>
    <w:p>
      <w:pPr>
        <w:pStyle w:val="Bibliography"/>
      </w:pPr>
      <w:r>
        <w:t xml:space="preserve">39.</w:t>
      </w:r>
      <w:r>
        <w:t xml:space="preserve"> </w:t>
      </w:r>
      <w:r>
        <w:t xml:space="preserve">	</w:t>
      </w:r>
      <w:r>
        <w:t xml:space="preserve">Hurk JV van den. 1990.</w:t>
      </w:r>
      <w:r>
        <w:t xml:space="preserve"> </w:t>
      </w:r>
      <w:hyperlink r:id="rId138">
        <w:r>
          <w:rPr>
            <w:rStyle w:val="Hyperlink"/>
          </w:rPr>
          <w:t xml:space="preserve">Propagation of group II avian adenoviruses in turkey and chicken leukocytes</w:t>
        </w:r>
      </w:hyperlink>
      <w:r>
        <w:t xml:space="preserve">. Avian Diseases 34:12.</w:t>
      </w:r>
    </w:p>
    <w:bookmarkEnd w:id="139"/>
    <w:bookmarkStart w:id="141" w:name="ref-Aboezz2019"/>
    <w:p>
      <w:pPr>
        <w:pStyle w:val="Bibliography"/>
      </w:pPr>
      <w:r>
        <w:t xml:space="preserve">40.</w:t>
      </w:r>
      <w:r>
        <w:t xml:space="preserve"> </w:t>
      </w:r>
      <w:r>
        <w:t xml:space="preserve">	</w:t>
      </w:r>
      <w:r>
        <w:t xml:space="preserve">Aboezz ZR, Mahsoub HM, El-Bagoury G, Pierson FW. 2019.</w:t>
      </w:r>
      <w:r>
        <w:t xml:space="preserve"> </w:t>
      </w:r>
      <w:hyperlink r:id="rId140">
        <w:r>
          <w:rPr>
            <w:rStyle w:val="Hyperlink"/>
          </w:rPr>
          <w:t xml:space="preserve">In vitro growth kinetics and gene expression analysis of the turkey adenovirus 3, a siadenovirus</w:t>
        </w:r>
      </w:hyperlink>
      <w:r>
        <w:t xml:space="preserve">. Virus Research 263:47–54.</w:t>
      </w:r>
    </w:p>
    <w:bookmarkEnd w:id="141"/>
    <w:bookmarkStart w:id="143" w:name="ref-Quaye2024"/>
    <w:p>
      <w:pPr>
        <w:pStyle w:val="Bibliography"/>
      </w:pPr>
      <w:r>
        <w:t xml:space="preserve">41.</w:t>
      </w:r>
      <w:r>
        <w:t xml:space="preserve"> </w:t>
      </w:r>
      <w:r>
        <w:t xml:space="preserve">	</w:t>
      </w:r>
      <w:r>
        <w:t xml:space="preserve">Quaye A, Pickett BE, Griffitts JS, Berges BK, Poole BD. 2024.</w:t>
      </w:r>
      <w:r>
        <w:t xml:space="preserve"> </w:t>
      </w:r>
      <w:hyperlink r:id="rId142">
        <w:r>
          <w:rPr>
            <w:rStyle w:val="Hyperlink"/>
          </w:rPr>
          <w:t xml:space="preserve">Characterizing the splice map of turkey hemorrhagic enteritis virus</w:t>
        </w:r>
      </w:hyperlink>
      <w:r>
        <w:t xml:space="preserve">. Virology Journal 21.</w:t>
      </w:r>
    </w:p>
    <w:bookmarkEnd w:id="143"/>
    <w:bookmarkStart w:id="145" w:name="ref-Fribley2009"/>
    <w:p>
      <w:pPr>
        <w:pStyle w:val="Bibliography"/>
      </w:pPr>
      <w:r>
        <w:t xml:space="preserve">42.</w:t>
      </w:r>
      <w:r>
        <w:t xml:space="preserve"> </w:t>
      </w:r>
      <w:r>
        <w:t xml:space="preserve">	</w:t>
      </w:r>
      <w:r>
        <w:t xml:space="preserve">Fribley A, Zhang K, Kaufman RJ. 2009.</w:t>
      </w:r>
      <w:r>
        <w:t xml:space="preserve"> </w:t>
      </w:r>
      <w:hyperlink r:id="rId144">
        <w:r>
          <w:rPr>
            <w:rStyle w:val="Hyperlink"/>
          </w:rPr>
          <w:t xml:space="preserve">Regulation of apoptosis by the unfolded protein response</w:t>
        </w:r>
      </w:hyperlink>
      <w:r>
        <w:t xml:space="preserve">, p. 191–204.</w:t>
      </w:r>
      <w:r>
        <w:t xml:space="preserve"> </w:t>
      </w:r>
      <w:r>
        <w:rPr>
          <w:i/>
          <w:iCs/>
        </w:rPr>
        <w:t xml:space="preserve">In</w:t>
      </w:r>
      <w:r>
        <w:t xml:space="preserve"> </w:t>
      </w:r>
      <w:r>
        <w:t xml:space="preserve">Apoptosis. Humana Press.</w:t>
      </w:r>
    </w:p>
    <w:bookmarkEnd w:id="145"/>
    <w:bookmarkStart w:id="147" w:name="ref-Read2021"/>
    <w:p>
      <w:pPr>
        <w:pStyle w:val="Bibliography"/>
      </w:pPr>
      <w:r>
        <w:t xml:space="preserve">43.</w:t>
      </w:r>
      <w:r>
        <w:t xml:space="preserve"> </w:t>
      </w:r>
      <w:r>
        <w:t xml:space="preserve">	</w:t>
      </w:r>
      <w:r>
        <w:t xml:space="preserve">Read A, Schröder M. 2021.</w:t>
      </w:r>
      <w:r>
        <w:t xml:space="preserve"> </w:t>
      </w:r>
      <w:hyperlink r:id="rId146">
        <w:r>
          <w:rPr>
            <w:rStyle w:val="Hyperlink"/>
          </w:rPr>
          <w:t xml:space="preserve">The unfolded protein response: An overview</w:t>
        </w:r>
      </w:hyperlink>
      <w:r>
        <w:t xml:space="preserve">. Biology 10:384.</w:t>
      </w:r>
    </w:p>
    <w:bookmarkEnd w:id="147"/>
    <w:bookmarkEnd w:id="148"/>
    <w:bookmarkEnd w:id="149"/>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55" Type="http://schemas.openxmlformats.org/officeDocument/2006/relationships/image" Target="media/rId55.png"/>
<Relationship Id="rId34" Type="http://schemas.openxmlformats.org/officeDocument/2006/relationships/image" Target="media/rId34.png"/>
<Relationship Id="rId40" Type="http://schemas.openxmlformats.org/officeDocument/2006/relationships/image" Target="media/rId40.png"/>
<Relationship Id="rId43" Type="http://schemas.openxmlformats.org/officeDocument/2006/relationships/image" Target="media/rId43.png"/>
<Relationship Id="rId49" Type="http://schemas.openxmlformats.org/officeDocument/2006/relationships/image" Target="media/rId49.png"/>
<Relationship Id="rId37" Type="http://schemas.openxmlformats.org/officeDocument/2006/relationships/image" Target="media/rId37.png"/>
<Relationship Id="rId46" Type="http://schemas.openxmlformats.org/officeDocument/2006/relationships/image" Target="media/rId46.png"/>
<Relationship Id="rId71" Type="http://schemas.openxmlformats.org/officeDocument/2006/relationships/hyperlink" Target="http://scholar.lib.vt.edu/theses/available/etd-08142006-145339/" TargetMode="External"/>
<Relationship Id="rId33" Type="http://schemas.openxmlformats.org/officeDocument/2006/relationships/hyperlink" Target="http://www.ncbi.nlm.nih.gov/geo" TargetMode="External"/>
<Relationship Id="rId114" Type="http://schemas.openxmlformats.org/officeDocument/2006/relationships/hyperlink" Target="https://CRAN.R-project.org/package=ggvenn" TargetMode="External"/>
<Relationship Id="rId112" Type="http://schemas.openxmlformats.org/officeDocument/2006/relationships/hyperlink" Target="https://CRAN.R-project.org/package=pheatmap" TargetMode="External"/>
<Relationship Id="rId29" Type="http://schemas.openxmlformats.org/officeDocument/2006/relationships/hyperlink" Target="https://blast.ncbi.nlm.nih.gov/Blast.cgi?PROGRAM=blastn" TargetMode="External"/>
<Relationship Id="rId116" Type="http://schemas.openxmlformats.org/officeDocument/2006/relationships/hyperlink" Target="https://doi.org/10.1006/meth.2001.1262" TargetMode="External"/>
<Relationship Id="rId144" Type="http://schemas.openxmlformats.org/officeDocument/2006/relationships/hyperlink" Target="https://doi.org/10.1007/978-1-60327-017-5_14" TargetMode="External"/>
<Relationship Id="rId83" Type="http://schemas.openxmlformats.org/officeDocument/2006/relationships/hyperlink" Target="https://doi.org/10.1007/s007050070083" TargetMode="External"/>
<Relationship Id="rId85" Type="http://schemas.openxmlformats.org/officeDocument/2006/relationships/hyperlink" Target="https://doi.org/10.1007/s10142-023-01064-6" TargetMode="External"/>
<Relationship Id="rId89" Type="http://schemas.openxmlformats.org/officeDocument/2006/relationships/hyperlink" Target="https://doi.org/10.1007/s12275-016-6233-2" TargetMode="External"/>
<Relationship Id="rId134" Type="http://schemas.openxmlformats.org/officeDocument/2006/relationships/hyperlink" Target="https://doi.org/10.1016/0165-2478(93)90080-l" TargetMode="External"/>
<Relationship Id="rId66" Type="http://schemas.openxmlformats.org/officeDocument/2006/relationships/hyperlink" Target="https://doi.org/10.1016/B978-012374410-4.00680-4" TargetMode="External"/>
<Relationship Id="rId130" Type="http://schemas.openxmlformats.org/officeDocument/2006/relationships/hyperlink" Target="https://doi.org/10.1016/b978-0-12-800276-6.00003-6" TargetMode="External"/>
<Relationship Id="rId99" Type="http://schemas.openxmlformats.org/officeDocument/2006/relationships/hyperlink" Target="https://doi.org/10.1016/j.jviromet.2016.11.002" TargetMode="External"/>
<Relationship Id="rId132" Type="http://schemas.openxmlformats.org/officeDocument/2006/relationships/hyperlink" Target="https://doi.org/10.1016/j.molmed.2006.07.007" TargetMode="External"/>
<Relationship Id="rId128" Type="http://schemas.openxmlformats.org/officeDocument/2006/relationships/hyperlink" Target="https://doi.org/10.1016/j.virol.2011.12.006" TargetMode="External"/>
<Relationship Id="rId93" Type="http://schemas.openxmlformats.org/officeDocument/2006/relationships/hyperlink" Target="https://doi.org/10.1016/j.virs.2022.09.002" TargetMode="External"/>
<Relationship Id="rId140" Type="http://schemas.openxmlformats.org/officeDocument/2006/relationships/hyperlink" Target="https://doi.org/10.1016/j.virusres.2019.01.005" TargetMode="External"/>
<Relationship Id="rId78" Type="http://schemas.openxmlformats.org/officeDocument/2006/relationships/hyperlink" Target="https://doi.org/10.1016/s0145-305x(99)00075-0" TargetMode="External"/>
<Relationship Id="rId124" Type="http://schemas.openxmlformats.org/officeDocument/2006/relationships/hyperlink" Target="https://doi.org/10.1016/s1054-3589(08)61063-7" TargetMode="External"/>
<Relationship Id="rId95" Type="http://schemas.openxmlformats.org/officeDocument/2006/relationships/hyperlink" Target="https://doi.org/10.1038/75556" TargetMode="External"/>
<Relationship Id="rId101" Type="http://schemas.openxmlformats.org/officeDocument/2006/relationships/hyperlink" Target="https://doi.org/10.1038/nprot.2016.095" TargetMode="External"/>
<Relationship Id="rId122" Type="http://schemas.openxmlformats.org/officeDocument/2006/relationships/hyperlink" Target="https://doi.org/10.1038/sj.cdd.4400823" TargetMode="External"/>
<Relationship Id="rId73" Type="http://schemas.openxmlformats.org/officeDocument/2006/relationships/hyperlink" Target="https://doi.org/10.1080/01652176.2016.1277281" TargetMode="External"/>
<Relationship Id="rId120" Type="http://schemas.openxmlformats.org/officeDocument/2006/relationships/hyperlink" Target="https://doi.org/10.1080/03079459308418899" TargetMode="External"/>
<Relationship Id="rId97" Type="http://schemas.openxmlformats.org/officeDocument/2006/relationships/hyperlink" Target="https://doi.org/10.1093/nar/28.1.27" TargetMode="External"/>
<Relationship Id="rId118" Type="http://schemas.openxmlformats.org/officeDocument/2006/relationships/hyperlink" Target="https://doi.org/10.1093/nar/gkac194" TargetMode="External"/>
<Relationship Id="rId68" Type="http://schemas.openxmlformats.org/officeDocument/2006/relationships/hyperlink" Target="https://doi.org/10.1099/vir.0.19497-0" TargetMode="External"/>
<Relationship Id="rId75" Type="http://schemas.openxmlformats.org/officeDocument/2006/relationships/hyperlink" Target="https://doi.org/10.1186/s12917-019-2138-8" TargetMode="External"/>
<Relationship Id="rId142" Type="http://schemas.openxmlformats.org/officeDocument/2006/relationships/hyperlink" Target="https://doi.org/10.1186/s12985-024-02449-0" TargetMode="External"/>
<Relationship Id="rId107" Type="http://schemas.openxmlformats.org/officeDocument/2006/relationships/hyperlink" Target="https://doi.org/10.1186/s13059-014-0550-8" TargetMode="External"/>
<Relationship Id="rId103" Type="http://schemas.openxmlformats.org/officeDocument/2006/relationships/hyperlink" Target="https://doi.org/10.12688/f1000research.29032.2" TargetMode="External"/>
<Relationship Id="rId126" Type="http://schemas.openxmlformats.org/officeDocument/2006/relationships/hyperlink" Target="https://doi.org/10.1371/journal.ppat.1010718" TargetMode="External"/>
<Relationship Id="rId105" Type="http://schemas.openxmlformats.org/officeDocument/2006/relationships/hyperlink" Target="https://doi.org/10.14806/ej.17.1.200" TargetMode="External"/>
<Relationship Id="rId136" Type="http://schemas.openxmlformats.org/officeDocument/2006/relationships/hyperlink" Target="https://doi.org/10.15252/embj.2021109845" TargetMode="External"/>
<Relationship Id="rId81" Type="http://schemas.openxmlformats.org/officeDocument/2006/relationships/hyperlink" Target="https://doi.org/10.1637/8575-010509-reg.1" TargetMode="External"/>
<Relationship Id="rId138" Type="http://schemas.openxmlformats.org/officeDocument/2006/relationships/hyperlink" Target="https://doi.org/10.2307/1591329" TargetMode="External"/>
<Relationship Id="rId87" Type="http://schemas.openxmlformats.org/officeDocument/2006/relationships/hyperlink" Target="https://doi.org/10.3389/fgene.2019.00384" TargetMode="External"/>
<Relationship Id="rId146" Type="http://schemas.openxmlformats.org/officeDocument/2006/relationships/hyperlink" Target="https://doi.org/10.3390/biology10050384" TargetMode="External"/>
<Relationship Id="rId9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 TargetMode="External"/>
<Relationship Id="rId110" Type="http://schemas.openxmlformats.org/officeDocument/2006/relationships/hyperlink" Target="https://ggplot2.tidyverse.org" TargetMode="External"/>
<Relationship Id="rId60"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71" Type="http://schemas.openxmlformats.org/officeDocument/2006/relationships/hyperlink" Target="http://scholar.lib.vt.edu/theses/available/etd-08142006-145339/" TargetMode="External"/>
<Relationship Id="rId33" Type="http://schemas.openxmlformats.org/officeDocument/2006/relationships/hyperlink" Target="http://www.ncbi.nlm.nih.gov/geo" TargetMode="External"/>
<Relationship Id="rId114" Type="http://schemas.openxmlformats.org/officeDocument/2006/relationships/hyperlink" Target="https://CRAN.R-project.org/package=ggvenn" TargetMode="External"/>
<Relationship Id="rId112" Type="http://schemas.openxmlformats.org/officeDocument/2006/relationships/hyperlink" Target="https://CRAN.R-project.org/package=pheatmap" TargetMode="External"/>
<Relationship Id="rId29" Type="http://schemas.openxmlformats.org/officeDocument/2006/relationships/hyperlink" Target="https://blast.ncbi.nlm.nih.gov/Blast.cgi?PROGRAM=blastn" TargetMode="External"/>
<Relationship Id="rId116" Type="http://schemas.openxmlformats.org/officeDocument/2006/relationships/hyperlink" Target="https://doi.org/10.1006/meth.2001.1262" TargetMode="External"/>
<Relationship Id="rId144" Type="http://schemas.openxmlformats.org/officeDocument/2006/relationships/hyperlink" Target="https://doi.org/10.1007/978-1-60327-017-5_14" TargetMode="External"/>
<Relationship Id="rId83" Type="http://schemas.openxmlformats.org/officeDocument/2006/relationships/hyperlink" Target="https://doi.org/10.1007/s007050070083" TargetMode="External"/>
<Relationship Id="rId85" Type="http://schemas.openxmlformats.org/officeDocument/2006/relationships/hyperlink" Target="https://doi.org/10.1007/s10142-023-01064-6" TargetMode="External"/>
<Relationship Id="rId89" Type="http://schemas.openxmlformats.org/officeDocument/2006/relationships/hyperlink" Target="https://doi.org/10.1007/s12275-016-6233-2" TargetMode="External"/>
<Relationship Id="rId134" Type="http://schemas.openxmlformats.org/officeDocument/2006/relationships/hyperlink" Target="https://doi.org/10.1016/0165-2478(93)90080-l" TargetMode="External"/>
<Relationship Id="rId66" Type="http://schemas.openxmlformats.org/officeDocument/2006/relationships/hyperlink" Target="https://doi.org/10.1016/B978-012374410-4.00680-4" TargetMode="External"/>
<Relationship Id="rId130" Type="http://schemas.openxmlformats.org/officeDocument/2006/relationships/hyperlink" Target="https://doi.org/10.1016/b978-0-12-800276-6.00003-6" TargetMode="External"/>
<Relationship Id="rId99" Type="http://schemas.openxmlformats.org/officeDocument/2006/relationships/hyperlink" Target="https://doi.org/10.1016/j.jviromet.2016.11.002" TargetMode="External"/>
<Relationship Id="rId132" Type="http://schemas.openxmlformats.org/officeDocument/2006/relationships/hyperlink" Target="https://doi.org/10.1016/j.molmed.2006.07.007" TargetMode="External"/>
<Relationship Id="rId128" Type="http://schemas.openxmlformats.org/officeDocument/2006/relationships/hyperlink" Target="https://doi.org/10.1016/j.virol.2011.12.006" TargetMode="External"/>
<Relationship Id="rId93" Type="http://schemas.openxmlformats.org/officeDocument/2006/relationships/hyperlink" Target="https://doi.org/10.1016/j.virs.2022.09.002" TargetMode="External"/>
<Relationship Id="rId140" Type="http://schemas.openxmlformats.org/officeDocument/2006/relationships/hyperlink" Target="https://doi.org/10.1016/j.virusres.2019.01.005" TargetMode="External"/>
<Relationship Id="rId78" Type="http://schemas.openxmlformats.org/officeDocument/2006/relationships/hyperlink" Target="https://doi.org/10.1016/s0145-305x(99)00075-0" TargetMode="External"/>
<Relationship Id="rId124" Type="http://schemas.openxmlformats.org/officeDocument/2006/relationships/hyperlink" Target="https://doi.org/10.1016/s1054-3589(08)61063-7" TargetMode="External"/>
<Relationship Id="rId95" Type="http://schemas.openxmlformats.org/officeDocument/2006/relationships/hyperlink" Target="https://doi.org/10.1038/75556" TargetMode="External"/>
<Relationship Id="rId101" Type="http://schemas.openxmlformats.org/officeDocument/2006/relationships/hyperlink" Target="https://doi.org/10.1038/nprot.2016.095" TargetMode="External"/>
<Relationship Id="rId122" Type="http://schemas.openxmlformats.org/officeDocument/2006/relationships/hyperlink" Target="https://doi.org/10.1038/sj.cdd.4400823" TargetMode="External"/>
<Relationship Id="rId73" Type="http://schemas.openxmlformats.org/officeDocument/2006/relationships/hyperlink" Target="https://doi.org/10.1080/01652176.2016.1277281" TargetMode="External"/>
<Relationship Id="rId120" Type="http://schemas.openxmlformats.org/officeDocument/2006/relationships/hyperlink" Target="https://doi.org/10.1080/03079459308418899" TargetMode="External"/>
<Relationship Id="rId97" Type="http://schemas.openxmlformats.org/officeDocument/2006/relationships/hyperlink" Target="https://doi.org/10.1093/nar/28.1.27" TargetMode="External"/>
<Relationship Id="rId118" Type="http://schemas.openxmlformats.org/officeDocument/2006/relationships/hyperlink" Target="https://doi.org/10.1093/nar/gkac194" TargetMode="External"/>
<Relationship Id="rId68" Type="http://schemas.openxmlformats.org/officeDocument/2006/relationships/hyperlink" Target="https://doi.org/10.1099/vir.0.19497-0" TargetMode="External"/>
<Relationship Id="rId75" Type="http://schemas.openxmlformats.org/officeDocument/2006/relationships/hyperlink" Target="https://doi.org/10.1186/s12917-019-2138-8" TargetMode="External"/>
<Relationship Id="rId142" Type="http://schemas.openxmlformats.org/officeDocument/2006/relationships/hyperlink" Target="https://doi.org/10.1186/s12985-024-02449-0" TargetMode="External"/>
<Relationship Id="rId107" Type="http://schemas.openxmlformats.org/officeDocument/2006/relationships/hyperlink" Target="https://doi.org/10.1186/s13059-014-0550-8" TargetMode="External"/>
<Relationship Id="rId103" Type="http://schemas.openxmlformats.org/officeDocument/2006/relationships/hyperlink" Target="https://doi.org/10.12688/f1000research.29032.2" TargetMode="External"/>
<Relationship Id="rId126" Type="http://schemas.openxmlformats.org/officeDocument/2006/relationships/hyperlink" Target="https://doi.org/10.1371/journal.ppat.1010718" TargetMode="External"/>
<Relationship Id="rId105" Type="http://schemas.openxmlformats.org/officeDocument/2006/relationships/hyperlink" Target="https://doi.org/10.14806/ej.17.1.200" TargetMode="External"/>
<Relationship Id="rId136" Type="http://schemas.openxmlformats.org/officeDocument/2006/relationships/hyperlink" Target="https://doi.org/10.15252/embj.2021109845" TargetMode="External"/>
<Relationship Id="rId81" Type="http://schemas.openxmlformats.org/officeDocument/2006/relationships/hyperlink" Target="https://doi.org/10.1637/8575-010509-reg.1" TargetMode="External"/>
<Relationship Id="rId138" Type="http://schemas.openxmlformats.org/officeDocument/2006/relationships/hyperlink" Target="https://doi.org/10.2307/1591329" TargetMode="External"/>
<Relationship Id="rId87" Type="http://schemas.openxmlformats.org/officeDocument/2006/relationships/hyperlink" Target="https://doi.org/10.3389/fgene.2019.00384" TargetMode="External"/>
<Relationship Id="rId146" Type="http://schemas.openxmlformats.org/officeDocument/2006/relationships/hyperlink" Target="https://doi.org/10.3390/biology10050384" TargetMode="External"/>
<Relationship Id="rId9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 TargetMode="External"/>
<Relationship Id="rId110" Type="http://schemas.openxmlformats.org/officeDocument/2006/relationships/hyperlink" Target="https://ggplot2.tidyverse.org" TargetMode="External"/>
<Relationship Id="rId60"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 cell Transcriptome Profile During Turkey Hemorrhagic Enteritis Virus (THEV) Infection Highlights Upregulated Apoptosis and Breakdown Pathways That May Mediate Immunosuppression</dc:title>
  <dc:creator/>
  <cp:keywords/>
  <dcterms:created xsi:type="dcterms:W3CDTF">2025-02-10T20:48:24Z</dcterms:created>
  <dcterms:modified xsi:type="dcterms:W3CDTF">2025-02-10T13:48:27Z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